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9D14BA" w14:textId="37317921" w:rsidR="00D66BCD" w:rsidRDefault="00D66BCD" w:rsidP="007543C0">
      <w:pPr>
        <w:spacing w:line="480" w:lineRule="auto"/>
      </w:pPr>
    </w:p>
    <w:p w14:paraId="0000BAC3" w14:textId="381F8D12" w:rsidR="00F16608" w:rsidRDefault="00F16608" w:rsidP="00F16608">
      <w:pPr>
        <w:spacing w:line="480" w:lineRule="auto"/>
        <w:jc w:val="center"/>
      </w:pPr>
      <w:r>
        <w:t>Initial Description</w:t>
      </w:r>
    </w:p>
    <w:p w14:paraId="498D752D" w14:textId="4E72EE9B" w:rsidR="009F6FAA" w:rsidRDefault="009F6FAA" w:rsidP="00C36BAE">
      <w:pPr>
        <w:spacing w:line="480" w:lineRule="auto"/>
      </w:pPr>
      <w:r>
        <w:tab/>
        <w:t xml:space="preserve">Ben is a 6-year-old male who attends the first grade in Huntington, West Virginia. Ben had a normal developmental history and met all milestones at appropriate times. When he was younger, Ben had leukemia and received chemotherapy as a result. Ben enjoys eating breakfast and drinking hot chocolate with his mother and sister, playing outside with his friends, and participating in reading and writing while at school. Ben is involved in his schoolwork and often asks and answers questions during class. </w:t>
      </w:r>
    </w:p>
    <w:p w14:paraId="2A389EAE" w14:textId="4C78DD74" w:rsidR="009F6FAA" w:rsidRDefault="00E42271" w:rsidP="00C36BAE">
      <w:pPr>
        <w:spacing w:line="480" w:lineRule="auto"/>
      </w:pPr>
      <w:r>
        <w:tab/>
        <w:t xml:space="preserve">Following an initial examination, results indicate that Ben suffered from a left ischemic MCA affecting the posterior superior and inferior portion of the frontal lobe, anterior superior and inferior portion of the parietal lobe, and the superior and posterior portion of the temporal lobe. </w:t>
      </w:r>
    </w:p>
    <w:p w14:paraId="2D73AAB4" w14:textId="56957CB1" w:rsidR="00C36BAE" w:rsidRDefault="009F6FAA" w:rsidP="00C36BAE">
      <w:pPr>
        <w:spacing w:line="480" w:lineRule="auto"/>
      </w:pPr>
      <w:r>
        <w:tab/>
        <w:t xml:space="preserve"> </w:t>
      </w:r>
    </w:p>
    <w:p w14:paraId="6B4FA451" w14:textId="16933E91" w:rsidR="009F6FAA" w:rsidRDefault="009F6FAA" w:rsidP="00C36BAE">
      <w:pPr>
        <w:spacing w:line="480" w:lineRule="auto"/>
      </w:pPr>
      <w:r>
        <w:tab/>
      </w:r>
    </w:p>
    <w:p w14:paraId="0B27BC20" w14:textId="77777777" w:rsidR="001A58B6" w:rsidRDefault="001A58B6" w:rsidP="00C36BAE">
      <w:pPr>
        <w:spacing w:line="480" w:lineRule="auto"/>
      </w:pPr>
    </w:p>
    <w:p w14:paraId="0E68C230" w14:textId="77777777" w:rsidR="001A58B6" w:rsidRDefault="001A58B6" w:rsidP="00C36BAE">
      <w:pPr>
        <w:spacing w:line="480" w:lineRule="auto"/>
      </w:pPr>
    </w:p>
    <w:p w14:paraId="63EE6581" w14:textId="77777777" w:rsidR="001A58B6" w:rsidRDefault="001A58B6" w:rsidP="00C36BAE">
      <w:pPr>
        <w:spacing w:line="480" w:lineRule="auto"/>
      </w:pPr>
    </w:p>
    <w:p w14:paraId="4BB8FD4C" w14:textId="77777777" w:rsidR="001A58B6" w:rsidRDefault="001A58B6" w:rsidP="00C36BAE">
      <w:pPr>
        <w:spacing w:line="480" w:lineRule="auto"/>
      </w:pPr>
    </w:p>
    <w:p w14:paraId="12DA3AFB" w14:textId="77777777" w:rsidR="001A58B6" w:rsidRDefault="001A58B6" w:rsidP="00C36BAE">
      <w:pPr>
        <w:spacing w:line="480" w:lineRule="auto"/>
      </w:pPr>
    </w:p>
    <w:p w14:paraId="59157803" w14:textId="77777777" w:rsidR="001A58B6" w:rsidRDefault="001A58B6" w:rsidP="00C36BAE">
      <w:pPr>
        <w:spacing w:line="480" w:lineRule="auto"/>
      </w:pPr>
    </w:p>
    <w:tbl>
      <w:tblPr>
        <w:tblStyle w:val="TableGrid1"/>
        <w:tblW w:w="5976" w:type="pct"/>
        <w:tblInd w:w="-1265" w:type="dxa"/>
        <w:tblLayout w:type="fixed"/>
        <w:tblLook w:val="04A0" w:firstRow="1" w:lastRow="0" w:firstColumn="1" w:lastColumn="0" w:noHBand="0" w:noVBand="1"/>
      </w:tblPr>
      <w:tblGrid>
        <w:gridCol w:w="1798"/>
        <w:gridCol w:w="3151"/>
        <w:gridCol w:w="2969"/>
        <w:gridCol w:w="3421"/>
        <w:gridCol w:w="4139"/>
      </w:tblGrid>
      <w:tr w:rsidR="00D66BCD" w:rsidRPr="00D66BCD" w14:paraId="746C4B64" w14:textId="77777777" w:rsidTr="00295454">
        <w:trPr>
          <w:trHeight w:val="144"/>
        </w:trPr>
        <w:tc>
          <w:tcPr>
            <w:tcW w:w="5000" w:type="pct"/>
            <w:gridSpan w:val="5"/>
          </w:tcPr>
          <w:p w14:paraId="2F5361F6" w14:textId="75B19345" w:rsidR="00D66BCD" w:rsidRPr="00D66BCD" w:rsidRDefault="00D66BCD" w:rsidP="00D66BCD">
            <w:pPr>
              <w:rPr>
                <w:rFonts w:eastAsia="Calibri"/>
                <w:b/>
                <w:sz w:val="20"/>
                <w:szCs w:val="20"/>
              </w:rPr>
            </w:pPr>
            <w:r w:rsidRPr="00D66BCD">
              <w:rPr>
                <w:rFonts w:eastAsia="Calibri"/>
                <w:b/>
                <w:sz w:val="20"/>
                <w:szCs w:val="20"/>
              </w:rPr>
              <w:t xml:space="preserve">The process of </w:t>
            </w:r>
            <w:r w:rsidR="00295454">
              <w:rPr>
                <w:rFonts w:eastAsia="Calibri"/>
                <w:b/>
                <w:sz w:val="20"/>
                <w:szCs w:val="20"/>
              </w:rPr>
              <w:t xml:space="preserve">normal </w:t>
            </w:r>
            <w:r w:rsidRPr="00D66BCD">
              <w:rPr>
                <w:rFonts w:eastAsia="Calibri"/>
                <w:b/>
                <w:sz w:val="20"/>
                <w:szCs w:val="20"/>
              </w:rPr>
              <w:t xml:space="preserve">speech planning and production: </w:t>
            </w:r>
          </w:p>
          <w:p w14:paraId="34748057" w14:textId="498A7CA8" w:rsidR="00D66BCD" w:rsidRPr="00D66BCD" w:rsidRDefault="00D66BCD" w:rsidP="00D66BCD">
            <w:pPr>
              <w:rPr>
                <w:rFonts w:eastAsia="Calibri"/>
                <w:sz w:val="20"/>
                <w:szCs w:val="20"/>
              </w:rPr>
            </w:pPr>
          </w:p>
        </w:tc>
      </w:tr>
      <w:tr w:rsidR="00D66BCD" w:rsidRPr="00D66BCD" w14:paraId="0C9F632C" w14:textId="77777777" w:rsidTr="00FA3A78">
        <w:trPr>
          <w:trHeight w:val="144"/>
        </w:trPr>
        <w:tc>
          <w:tcPr>
            <w:tcW w:w="581" w:type="pct"/>
          </w:tcPr>
          <w:p w14:paraId="79953E99" w14:textId="5032390D" w:rsidR="00D66BCD" w:rsidRPr="00D66BCD" w:rsidRDefault="001F3ABA" w:rsidP="00D66BCD">
            <w:pPr>
              <w:rPr>
                <w:rFonts w:eastAsia="Calibri"/>
                <w:b/>
                <w:sz w:val="20"/>
                <w:szCs w:val="20"/>
              </w:rPr>
            </w:pPr>
            <w:r>
              <w:rPr>
                <w:rFonts w:eastAsia="Calibri"/>
                <w:b/>
                <w:sz w:val="20"/>
                <w:szCs w:val="20"/>
              </w:rPr>
              <w:t xml:space="preserve">Speech </w:t>
            </w:r>
            <w:r w:rsidR="00295454">
              <w:rPr>
                <w:rFonts w:eastAsia="Calibri"/>
                <w:b/>
                <w:sz w:val="20"/>
                <w:szCs w:val="20"/>
              </w:rPr>
              <w:t>activities</w:t>
            </w:r>
          </w:p>
        </w:tc>
        <w:tc>
          <w:tcPr>
            <w:tcW w:w="1018" w:type="pct"/>
          </w:tcPr>
          <w:p w14:paraId="6D8F7CC6" w14:textId="77777777" w:rsidR="00D66BCD" w:rsidRPr="00D66BCD" w:rsidRDefault="00D66BCD" w:rsidP="00D66BCD">
            <w:pPr>
              <w:rPr>
                <w:rFonts w:eastAsia="Calibri"/>
                <w:b/>
                <w:sz w:val="20"/>
                <w:szCs w:val="20"/>
              </w:rPr>
            </w:pPr>
            <w:r w:rsidRPr="00D66BCD">
              <w:rPr>
                <w:rFonts w:eastAsia="Calibri"/>
                <w:b/>
                <w:sz w:val="20"/>
                <w:szCs w:val="20"/>
              </w:rPr>
              <w:t>Normal motor functioning</w:t>
            </w:r>
          </w:p>
        </w:tc>
        <w:tc>
          <w:tcPr>
            <w:tcW w:w="959" w:type="pct"/>
          </w:tcPr>
          <w:p w14:paraId="34B2A840" w14:textId="77777777" w:rsidR="00D66BCD" w:rsidRPr="00D66BCD" w:rsidRDefault="00D66BCD" w:rsidP="00D66BCD">
            <w:pPr>
              <w:rPr>
                <w:rFonts w:eastAsia="Calibri"/>
                <w:b/>
                <w:sz w:val="20"/>
                <w:szCs w:val="20"/>
              </w:rPr>
            </w:pPr>
            <w:r w:rsidRPr="00D66BCD">
              <w:rPr>
                <w:rFonts w:eastAsia="Calibri"/>
                <w:b/>
                <w:sz w:val="20"/>
                <w:szCs w:val="20"/>
              </w:rPr>
              <w:t>Normal sensory functioning</w:t>
            </w:r>
          </w:p>
        </w:tc>
        <w:tc>
          <w:tcPr>
            <w:tcW w:w="1105" w:type="pct"/>
          </w:tcPr>
          <w:p w14:paraId="44ED5D84" w14:textId="1632142C" w:rsidR="00D66BCD" w:rsidRPr="00621A0F" w:rsidRDefault="00D66BCD" w:rsidP="00D66BCD">
            <w:pPr>
              <w:rPr>
                <w:rFonts w:eastAsia="Calibri"/>
                <w:b/>
                <w:sz w:val="20"/>
                <w:szCs w:val="20"/>
              </w:rPr>
            </w:pPr>
            <w:r w:rsidRPr="00D66BCD">
              <w:rPr>
                <w:rFonts w:eastAsia="Calibri"/>
                <w:b/>
                <w:sz w:val="20"/>
                <w:szCs w:val="20"/>
              </w:rPr>
              <w:t xml:space="preserve">Damaged Motor </w:t>
            </w:r>
            <w:r w:rsidR="00EB493F">
              <w:rPr>
                <w:rFonts w:eastAsia="Calibri"/>
                <w:b/>
                <w:sz w:val="20"/>
                <w:szCs w:val="20"/>
              </w:rPr>
              <w:t xml:space="preserve">and </w:t>
            </w:r>
            <w:r w:rsidR="00621A0F">
              <w:rPr>
                <w:rFonts w:eastAsia="Calibri"/>
                <w:b/>
                <w:sz w:val="20"/>
                <w:szCs w:val="20"/>
              </w:rPr>
              <w:t>Sensory</w:t>
            </w:r>
          </w:p>
        </w:tc>
        <w:tc>
          <w:tcPr>
            <w:tcW w:w="1337" w:type="pct"/>
          </w:tcPr>
          <w:p w14:paraId="6129689E" w14:textId="77777777" w:rsidR="00D66BCD" w:rsidRPr="00D66BCD" w:rsidRDefault="00D66BCD" w:rsidP="00D66BCD">
            <w:pPr>
              <w:rPr>
                <w:rFonts w:eastAsia="Calibri"/>
                <w:b/>
                <w:sz w:val="20"/>
                <w:szCs w:val="20"/>
              </w:rPr>
            </w:pPr>
            <w:r w:rsidRPr="00D66BCD">
              <w:rPr>
                <w:rFonts w:eastAsia="Calibri"/>
                <w:b/>
                <w:sz w:val="20"/>
                <w:szCs w:val="20"/>
              </w:rPr>
              <w:t>Damaged Speech</w:t>
            </w:r>
          </w:p>
        </w:tc>
      </w:tr>
      <w:tr w:rsidR="004F4B1C" w:rsidRPr="00D66BCD" w14:paraId="2509DCCA" w14:textId="77777777" w:rsidTr="00FA3A78">
        <w:trPr>
          <w:trHeight w:val="3761"/>
        </w:trPr>
        <w:tc>
          <w:tcPr>
            <w:tcW w:w="581" w:type="pct"/>
          </w:tcPr>
          <w:p w14:paraId="45F0FD22" w14:textId="3DE236E5" w:rsidR="00F16608" w:rsidRPr="00D66BCD" w:rsidRDefault="004F4B1C" w:rsidP="00F16608">
            <w:pPr>
              <w:rPr>
                <w:rFonts w:eastAsia="Calibri"/>
                <w:sz w:val="20"/>
                <w:szCs w:val="20"/>
              </w:rPr>
            </w:pPr>
            <w:r w:rsidRPr="004F4B1C">
              <w:rPr>
                <w:rFonts w:eastAsia="Calibri"/>
                <w:sz w:val="20"/>
                <w:szCs w:val="20"/>
              </w:rPr>
              <w:lastRenderedPageBreak/>
              <w:t>1</w:t>
            </w:r>
          </w:p>
          <w:p w14:paraId="59AC466E" w14:textId="3D17D7F2" w:rsidR="004F4B1C" w:rsidRPr="00D66BCD" w:rsidRDefault="004F4B1C" w:rsidP="00D66BCD">
            <w:pPr>
              <w:rPr>
                <w:rFonts w:eastAsia="Calibri"/>
                <w:sz w:val="20"/>
                <w:szCs w:val="20"/>
              </w:rPr>
            </w:pPr>
          </w:p>
        </w:tc>
        <w:tc>
          <w:tcPr>
            <w:tcW w:w="1018" w:type="pct"/>
          </w:tcPr>
          <w:p w14:paraId="1F4A3DEF" w14:textId="2FA66DB4" w:rsidR="00621A0F" w:rsidRPr="000653F3" w:rsidRDefault="000653F3" w:rsidP="00F16608">
            <w:pPr>
              <w:rPr>
                <w:rFonts w:eastAsia="Calibri"/>
                <w:sz w:val="20"/>
                <w:szCs w:val="20"/>
              </w:rPr>
            </w:pPr>
            <w:r>
              <w:rPr>
                <w:rFonts w:eastAsia="Calibri"/>
                <w:b/>
                <w:sz w:val="20"/>
                <w:szCs w:val="20"/>
              </w:rPr>
              <w:t xml:space="preserve"> </w:t>
            </w:r>
          </w:p>
        </w:tc>
        <w:tc>
          <w:tcPr>
            <w:tcW w:w="959" w:type="pct"/>
          </w:tcPr>
          <w:p w14:paraId="6DD6DB8C" w14:textId="7B785034" w:rsidR="00621A0F" w:rsidRPr="00621A0F" w:rsidRDefault="00621A0F" w:rsidP="00F16608">
            <w:pPr>
              <w:rPr>
                <w:rFonts w:eastAsia="Calibri"/>
                <w:b/>
                <w:sz w:val="20"/>
                <w:szCs w:val="20"/>
              </w:rPr>
            </w:pPr>
          </w:p>
        </w:tc>
        <w:tc>
          <w:tcPr>
            <w:tcW w:w="1105" w:type="pct"/>
          </w:tcPr>
          <w:p w14:paraId="66B18796" w14:textId="145FD5EB" w:rsidR="000653F3" w:rsidRPr="00F16608" w:rsidRDefault="000653F3" w:rsidP="000653F3">
            <w:pPr>
              <w:rPr>
                <w:rFonts w:eastAsia="Calibri"/>
                <w:b/>
                <w:bCs/>
                <w:sz w:val="20"/>
                <w:szCs w:val="20"/>
              </w:rPr>
            </w:pPr>
          </w:p>
        </w:tc>
        <w:tc>
          <w:tcPr>
            <w:tcW w:w="1337" w:type="pct"/>
          </w:tcPr>
          <w:p w14:paraId="43AB7DE7" w14:textId="681540DF" w:rsidR="00F71D03" w:rsidRPr="000653F3" w:rsidRDefault="00F71D03" w:rsidP="00BB2222">
            <w:pPr>
              <w:rPr>
                <w:rFonts w:eastAsia="Calibri"/>
                <w:sz w:val="20"/>
                <w:szCs w:val="20"/>
              </w:rPr>
            </w:pPr>
          </w:p>
        </w:tc>
      </w:tr>
      <w:tr w:rsidR="008764E3" w:rsidRPr="00D66BCD" w14:paraId="6DFFAC9C" w14:textId="77777777" w:rsidTr="00295454">
        <w:trPr>
          <w:trHeight w:val="278"/>
        </w:trPr>
        <w:tc>
          <w:tcPr>
            <w:tcW w:w="5000" w:type="pct"/>
            <w:gridSpan w:val="5"/>
          </w:tcPr>
          <w:p w14:paraId="47C11551" w14:textId="1285DDD9" w:rsidR="008764E3" w:rsidRDefault="008764E3" w:rsidP="00D66BCD">
            <w:pPr>
              <w:rPr>
                <w:rFonts w:eastAsia="Calibri"/>
                <w:b/>
                <w:sz w:val="20"/>
                <w:szCs w:val="20"/>
              </w:rPr>
            </w:pPr>
            <w:r w:rsidRPr="008764E3">
              <w:rPr>
                <w:rFonts w:eastAsia="Calibri"/>
                <w:b/>
                <w:sz w:val="20"/>
                <w:szCs w:val="20"/>
              </w:rPr>
              <w:t>Post-stroke speech characteristics:</w:t>
            </w:r>
          </w:p>
          <w:p w14:paraId="28700F17" w14:textId="27CBDC4B" w:rsidR="008764E3" w:rsidRPr="00DC4738" w:rsidRDefault="008764E3" w:rsidP="00102905">
            <w:pPr>
              <w:rPr>
                <w:rFonts w:eastAsia="Calibri"/>
                <w:b/>
                <w:sz w:val="20"/>
                <w:szCs w:val="20"/>
              </w:rPr>
            </w:pPr>
          </w:p>
        </w:tc>
      </w:tr>
    </w:tbl>
    <w:p w14:paraId="3EB96AB1" w14:textId="77777777" w:rsidR="007E4A6F" w:rsidRDefault="007E4A6F" w:rsidP="00FA3A78">
      <w:pPr>
        <w:spacing w:line="120" w:lineRule="auto"/>
      </w:pPr>
    </w:p>
    <w:tbl>
      <w:tblPr>
        <w:tblStyle w:val="TableGrid"/>
        <w:tblW w:w="5976" w:type="pct"/>
        <w:tblInd w:w="-1265" w:type="dxa"/>
        <w:tblLook w:val="04A0" w:firstRow="1" w:lastRow="0" w:firstColumn="1" w:lastColumn="0" w:noHBand="0" w:noVBand="1"/>
      </w:tblPr>
      <w:tblGrid>
        <w:gridCol w:w="1709"/>
        <w:gridCol w:w="7473"/>
        <w:gridCol w:w="6296"/>
      </w:tblGrid>
      <w:tr w:rsidR="00D66BCD" w:rsidRPr="00D66BCD" w14:paraId="08675FA2" w14:textId="77777777" w:rsidTr="00295454">
        <w:trPr>
          <w:trHeight w:val="156"/>
        </w:trPr>
        <w:tc>
          <w:tcPr>
            <w:tcW w:w="552" w:type="pct"/>
          </w:tcPr>
          <w:p w14:paraId="7B117E10" w14:textId="77777777" w:rsidR="00D66BCD" w:rsidRPr="00D66BCD" w:rsidRDefault="00D66BCD" w:rsidP="004F4B1C">
            <w:pPr>
              <w:rPr>
                <w:rFonts w:eastAsia="Calibri"/>
                <w:b/>
                <w:sz w:val="20"/>
                <w:szCs w:val="20"/>
              </w:rPr>
            </w:pPr>
            <w:r w:rsidRPr="00D66BCD">
              <w:rPr>
                <w:rFonts w:eastAsia="Calibri"/>
                <w:b/>
                <w:sz w:val="20"/>
                <w:szCs w:val="20"/>
              </w:rPr>
              <w:t xml:space="preserve">Language based activities </w:t>
            </w:r>
          </w:p>
        </w:tc>
        <w:tc>
          <w:tcPr>
            <w:tcW w:w="2414" w:type="pct"/>
          </w:tcPr>
          <w:p w14:paraId="691E2139" w14:textId="77777777" w:rsidR="00D66BCD" w:rsidRPr="00D66BCD" w:rsidRDefault="00D66BCD" w:rsidP="004F4B1C">
            <w:pPr>
              <w:rPr>
                <w:rFonts w:eastAsia="Calibri"/>
                <w:b/>
                <w:sz w:val="20"/>
                <w:szCs w:val="20"/>
              </w:rPr>
            </w:pPr>
            <w:r w:rsidRPr="00D66BCD">
              <w:rPr>
                <w:rFonts w:eastAsia="Calibri"/>
                <w:b/>
                <w:sz w:val="20"/>
                <w:szCs w:val="20"/>
              </w:rPr>
              <w:t>Normal language function</w:t>
            </w:r>
          </w:p>
        </w:tc>
        <w:tc>
          <w:tcPr>
            <w:tcW w:w="2034" w:type="pct"/>
          </w:tcPr>
          <w:p w14:paraId="43ED79D3" w14:textId="77777777" w:rsidR="00D66BCD" w:rsidRPr="00D66BCD" w:rsidRDefault="00D66BCD" w:rsidP="004F4B1C">
            <w:pPr>
              <w:rPr>
                <w:rFonts w:eastAsia="Calibri"/>
                <w:b/>
                <w:sz w:val="20"/>
                <w:szCs w:val="20"/>
              </w:rPr>
            </w:pPr>
            <w:r w:rsidRPr="00D66BCD">
              <w:rPr>
                <w:rFonts w:eastAsia="Calibri"/>
                <w:b/>
                <w:sz w:val="20"/>
                <w:szCs w:val="20"/>
              </w:rPr>
              <w:t>Areas damaged</w:t>
            </w:r>
          </w:p>
        </w:tc>
      </w:tr>
      <w:tr w:rsidR="00D66BCD" w:rsidRPr="00D66BCD" w14:paraId="1DD4A592" w14:textId="77777777" w:rsidTr="00295454">
        <w:trPr>
          <w:trHeight w:val="939"/>
        </w:trPr>
        <w:tc>
          <w:tcPr>
            <w:tcW w:w="552" w:type="pct"/>
          </w:tcPr>
          <w:p w14:paraId="00CC8460" w14:textId="752C40B8" w:rsidR="00D66BCD" w:rsidRPr="00D66BCD" w:rsidRDefault="00D66BCD" w:rsidP="00D66BCD">
            <w:pPr>
              <w:rPr>
                <w:rFonts w:eastAsia="Calibri"/>
                <w:sz w:val="20"/>
                <w:szCs w:val="20"/>
              </w:rPr>
            </w:pPr>
          </w:p>
        </w:tc>
        <w:tc>
          <w:tcPr>
            <w:tcW w:w="2414" w:type="pct"/>
          </w:tcPr>
          <w:p w14:paraId="0292762E" w14:textId="379450E3" w:rsidR="00D66BCD" w:rsidRPr="00D66BCD" w:rsidRDefault="00D66BCD" w:rsidP="00D66BCD">
            <w:pPr>
              <w:rPr>
                <w:rFonts w:eastAsia="Calibri"/>
                <w:sz w:val="20"/>
                <w:szCs w:val="20"/>
              </w:rPr>
            </w:pPr>
          </w:p>
        </w:tc>
        <w:tc>
          <w:tcPr>
            <w:tcW w:w="2034" w:type="pct"/>
          </w:tcPr>
          <w:p w14:paraId="6B39A750" w14:textId="484E6881" w:rsidR="00D66BCD" w:rsidRPr="00D66BCD" w:rsidRDefault="00D66BCD" w:rsidP="00D66BCD">
            <w:pPr>
              <w:rPr>
                <w:rFonts w:eastAsia="Calibri"/>
                <w:sz w:val="20"/>
                <w:szCs w:val="20"/>
              </w:rPr>
            </w:pPr>
            <w:r w:rsidRPr="00D66BCD">
              <w:rPr>
                <w:rFonts w:eastAsia="Calibri"/>
                <w:sz w:val="20"/>
                <w:szCs w:val="20"/>
              </w:rPr>
              <w:t xml:space="preserve"> </w:t>
            </w:r>
          </w:p>
        </w:tc>
      </w:tr>
      <w:tr w:rsidR="00D66BCD" w:rsidRPr="00D66BCD" w14:paraId="2CF47E37" w14:textId="77777777" w:rsidTr="00295454">
        <w:trPr>
          <w:trHeight w:val="939"/>
        </w:trPr>
        <w:tc>
          <w:tcPr>
            <w:tcW w:w="552" w:type="pct"/>
          </w:tcPr>
          <w:p w14:paraId="01E08F1C" w14:textId="3525D495" w:rsidR="00D66BCD" w:rsidRPr="00D66BCD" w:rsidRDefault="00D66BCD" w:rsidP="00D66BCD">
            <w:pPr>
              <w:rPr>
                <w:rFonts w:eastAsia="Calibri"/>
                <w:sz w:val="20"/>
                <w:szCs w:val="20"/>
              </w:rPr>
            </w:pPr>
          </w:p>
        </w:tc>
        <w:tc>
          <w:tcPr>
            <w:tcW w:w="2414" w:type="pct"/>
          </w:tcPr>
          <w:p w14:paraId="24B792FE" w14:textId="49470097" w:rsidR="00D66BCD" w:rsidRPr="00D66BCD" w:rsidRDefault="00D66BCD" w:rsidP="00D66BCD">
            <w:pPr>
              <w:rPr>
                <w:rFonts w:eastAsia="Calibri"/>
                <w:sz w:val="20"/>
                <w:szCs w:val="20"/>
              </w:rPr>
            </w:pPr>
          </w:p>
        </w:tc>
        <w:tc>
          <w:tcPr>
            <w:tcW w:w="2034" w:type="pct"/>
          </w:tcPr>
          <w:p w14:paraId="7A79C7D7" w14:textId="77777777" w:rsidR="00A91D4F" w:rsidRPr="00D66BCD" w:rsidRDefault="00A91D4F" w:rsidP="00F16608">
            <w:pPr>
              <w:rPr>
                <w:rFonts w:eastAsia="Calibri"/>
                <w:sz w:val="20"/>
                <w:szCs w:val="20"/>
              </w:rPr>
            </w:pPr>
          </w:p>
        </w:tc>
      </w:tr>
      <w:tr w:rsidR="00D66BCD" w:rsidRPr="00D66BCD" w14:paraId="5ABB4CB6" w14:textId="77777777" w:rsidTr="00295454">
        <w:trPr>
          <w:trHeight w:val="939"/>
        </w:trPr>
        <w:tc>
          <w:tcPr>
            <w:tcW w:w="552" w:type="pct"/>
          </w:tcPr>
          <w:p w14:paraId="3A9AD6A1" w14:textId="31C2683E" w:rsidR="00D66BCD" w:rsidRPr="00D66BCD" w:rsidRDefault="00D66BCD" w:rsidP="00D66BCD">
            <w:pPr>
              <w:rPr>
                <w:rFonts w:eastAsia="Calibri"/>
                <w:sz w:val="20"/>
                <w:szCs w:val="20"/>
              </w:rPr>
            </w:pPr>
          </w:p>
        </w:tc>
        <w:tc>
          <w:tcPr>
            <w:tcW w:w="2414" w:type="pct"/>
          </w:tcPr>
          <w:p w14:paraId="4A047166" w14:textId="19218337" w:rsidR="00D66BCD" w:rsidRPr="00D66BCD" w:rsidRDefault="00D66BCD" w:rsidP="00D66BCD">
            <w:pPr>
              <w:rPr>
                <w:rFonts w:eastAsia="Calibri"/>
                <w:sz w:val="20"/>
                <w:szCs w:val="20"/>
              </w:rPr>
            </w:pPr>
          </w:p>
        </w:tc>
        <w:tc>
          <w:tcPr>
            <w:tcW w:w="2034" w:type="pct"/>
          </w:tcPr>
          <w:p w14:paraId="5D63DA51" w14:textId="77777777" w:rsidR="00D66BCD" w:rsidRPr="00D66BCD" w:rsidRDefault="00D66BCD" w:rsidP="00D66BCD">
            <w:pPr>
              <w:rPr>
                <w:rFonts w:eastAsia="Calibri"/>
                <w:sz w:val="20"/>
                <w:szCs w:val="20"/>
              </w:rPr>
            </w:pPr>
          </w:p>
        </w:tc>
      </w:tr>
      <w:tr w:rsidR="00D66BCD" w:rsidRPr="00D66BCD" w14:paraId="58FB77D4" w14:textId="77777777" w:rsidTr="009F4842">
        <w:trPr>
          <w:trHeight w:val="2339"/>
        </w:trPr>
        <w:tc>
          <w:tcPr>
            <w:tcW w:w="552" w:type="pct"/>
          </w:tcPr>
          <w:p w14:paraId="5E7AC28C" w14:textId="0A25D058" w:rsidR="00D66BCD" w:rsidRPr="00D66BCD" w:rsidRDefault="00D66BCD" w:rsidP="00D66BCD">
            <w:pPr>
              <w:rPr>
                <w:rFonts w:eastAsia="Calibri"/>
                <w:sz w:val="20"/>
                <w:szCs w:val="20"/>
              </w:rPr>
            </w:pPr>
          </w:p>
        </w:tc>
        <w:tc>
          <w:tcPr>
            <w:tcW w:w="2414" w:type="pct"/>
          </w:tcPr>
          <w:p w14:paraId="4FB0E296" w14:textId="4552AD7C" w:rsidR="00D66BCD" w:rsidRPr="00D66BCD" w:rsidRDefault="00D66BCD" w:rsidP="00D66BCD">
            <w:pPr>
              <w:rPr>
                <w:rFonts w:eastAsia="Calibri"/>
                <w:sz w:val="20"/>
                <w:szCs w:val="20"/>
              </w:rPr>
            </w:pPr>
          </w:p>
        </w:tc>
        <w:tc>
          <w:tcPr>
            <w:tcW w:w="2034" w:type="pct"/>
          </w:tcPr>
          <w:p w14:paraId="7B71D4BE" w14:textId="35B39472" w:rsidR="00D66BCD" w:rsidRPr="00D66BCD" w:rsidRDefault="00D66BCD" w:rsidP="00D66BCD">
            <w:pPr>
              <w:rPr>
                <w:rFonts w:eastAsia="Calibri"/>
                <w:sz w:val="20"/>
                <w:szCs w:val="20"/>
              </w:rPr>
            </w:pPr>
          </w:p>
        </w:tc>
      </w:tr>
      <w:tr w:rsidR="008764E3" w:rsidRPr="00D66BCD" w14:paraId="1E80D634" w14:textId="77777777" w:rsidTr="00295454">
        <w:trPr>
          <w:trHeight w:val="1781"/>
        </w:trPr>
        <w:tc>
          <w:tcPr>
            <w:tcW w:w="5000" w:type="pct"/>
            <w:gridSpan w:val="3"/>
          </w:tcPr>
          <w:p w14:paraId="4D4656E8" w14:textId="47D49957" w:rsidR="008764E3" w:rsidRPr="00072BBA" w:rsidRDefault="00072BBA" w:rsidP="00D66BCD">
            <w:pPr>
              <w:rPr>
                <w:rFonts w:eastAsia="Calibri"/>
                <w:b/>
                <w:bCs/>
                <w:sz w:val="20"/>
                <w:szCs w:val="20"/>
              </w:rPr>
            </w:pPr>
            <w:r>
              <w:rPr>
                <w:rFonts w:eastAsia="Calibri"/>
                <w:b/>
                <w:bCs/>
                <w:sz w:val="20"/>
                <w:szCs w:val="20"/>
              </w:rPr>
              <w:lastRenderedPageBreak/>
              <w:t>Post-stroke language characteristics:</w:t>
            </w:r>
          </w:p>
        </w:tc>
      </w:tr>
    </w:tbl>
    <w:p w14:paraId="3B0697F6" w14:textId="6874E10C" w:rsidR="00D66BCD" w:rsidRDefault="00D66BCD" w:rsidP="008764E3"/>
    <w:tbl>
      <w:tblPr>
        <w:tblStyle w:val="TableGrid"/>
        <w:tblW w:w="5976" w:type="pct"/>
        <w:tblInd w:w="-1265" w:type="dxa"/>
        <w:tblLook w:val="04A0" w:firstRow="1" w:lastRow="0" w:firstColumn="1" w:lastColumn="0" w:noHBand="0" w:noVBand="1"/>
      </w:tblPr>
      <w:tblGrid>
        <w:gridCol w:w="1892"/>
        <w:gridCol w:w="8367"/>
        <w:gridCol w:w="2517"/>
        <w:gridCol w:w="2702"/>
      </w:tblGrid>
      <w:tr w:rsidR="00D66BCD" w:rsidRPr="00D66BCD" w14:paraId="629C4E1F" w14:textId="77777777" w:rsidTr="00295454">
        <w:trPr>
          <w:trHeight w:val="144"/>
        </w:trPr>
        <w:tc>
          <w:tcPr>
            <w:tcW w:w="5000" w:type="pct"/>
            <w:gridSpan w:val="4"/>
          </w:tcPr>
          <w:p w14:paraId="3739421C" w14:textId="48C6FD51" w:rsidR="00D66BCD" w:rsidRDefault="004F4B1C" w:rsidP="002F5A81">
            <w:pPr>
              <w:rPr>
                <w:rFonts w:eastAsia="Calibri"/>
                <w:b/>
                <w:sz w:val="20"/>
                <w:szCs w:val="20"/>
              </w:rPr>
            </w:pPr>
            <w:r w:rsidRPr="004F4B1C">
              <w:rPr>
                <w:rFonts w:eastAsia="Calibri"/>
                <w:b/>
                <w:sz w:val="20"/>
                <w:szCs w:val="20"/>
              </w:rPr>
              <w:t>Process of normal swallowing:</w:t>
            </w:r>
          </w:p>
          <w:p w14:paraId="0EABAD48" w14:textId="42F3C945" w:rsidR="002F5A81" w:rsidRPr="00DF43A1" w:rsidRDefault="002F5A81" w:rsidP="002F5A81">
            <w:pPr>
              <w:pStyle w:val="ListParagraph"/>
              <w:numPr>
                <w:ilvl w:val="0"/>
                <w:numId w:val="4"/>
              </w:numPr>
              <w:rPr>
                <w:rFonts w:eastAsia="Calibri"/>
                <w:sz w:val="20"/>
                <w:szCs w:val="20"/>
              </w:rPr>
            </w:pPr>
            <w:r w:rsidRPr="00DF43A1">
              <w:rPr>
                <w:rFonts w:eastAsia="Calibri"/>
                <w:sz w:val="20"/>
                <w:szCs w:val="20"/>
              </w:rPr>
              <w:t xml:space="preserve">The process of swallowing begins as food and/or liquid enters the mouth. </w:t>
            </w:r>
            <w:r w:rsidR="00F0705C" w:rsidRPr="00DF43A1">
              <w:rPr>
                <w:rFonts w:eastAsia="Calibri"/>
                <w:sz w:val="20"/>
                <w:szCs w:val="20"/>
              </w:rPr>
              <w:t xml:space="preserve">The first phase </w:t>
            </w:r>
            <w:r w:rsidR="00856048" w:rsidRPr="00DF43A1">
              <w:rPr>
                <w:rFonts w:eastAsia="Calibri"/>
                <w:sz w:val="20"/>
                <w:szCs w:val="20"/>
              </w:rPr>
              <w:t xml:space="preserve">of the swallow is the </w:t>
            </w:r>
            <w:r w:rsidR="00856048" w:rsidRPr="00DF43A1">
              <w:rPr>
                <w:rFonts w:eastAsia="Calibri"/>
                <w:b/>
                <w:sz w:val="20"/>
                <w:szCs w:val="20"/>
              </w:rPr>
              <w:t>oral prep</w:t>
            </w:r>
            <w:r w:rsidR="00DF43A1">
              <w:rPr>
                <w:rFonts w:eastAsia="Calibri"/>
                <w:b/>
                <w:sz w:val="20"/>
                <w:szCs w:val="20"/>
              </w:rPr>
              <w:t>aratory</w:t>
            </w:r>
            <w:r w:rsidR="00856048" w:rsidRPr="00DF43A1">
              <w:rPr>
                <w:rFonts w:eastAsia="Calibri"/>
                <w:b/>
                <w:sz w:val="20"/>
                <w:szCs w:val="20"/>
              </w:rPr>
              <w:t xml:space="preserve"> phase</w:t>
            </w:r>
            <w:r w:rsidR="00856048" w:rsidRPr="00DF43A1">
              <w:rPr>
                <w:rFonts w:eastAsia="Calibri"/>
                <w:sz w:val="20"/>
                <w:szCs w:val="20"/>
              </w:rPr>
              <w:t xml:space="preserve">. During this phase, inhalation and exhalation occurs through the nose. Once food enter the mouth, the lips form a labial seal in order to keep food and/or liquid in the oral cavity. Then, food is chewed (mastication) and combined with saliva in order to form a bolus. The bolus is then held on the tongue in preparation for transport. </w:t>
            </w:r>
          </w:p>
          <w:p w14:paraId="76A58599" w14:textId="02339741" w:rsidR="00856048" w:rsidRPr="00DF43A1" w:rsidRDefault="00856048" w:rsidP="002F5A81">
            <w:pPr>
              <w:pStyle w:val="ListParagraph"/>
              <w:numPr>
                <w:ilvl w:val="0"/>
                <w:numId w:val="4"/>
              </w:numPr>
              <w:rPr>
                <w:rFonts w:eastAsia="Calibri"/>
                <w:sz w:val="20"/>
                <w:szCs w:val="20"/>
              </w:rPr>
            </w:pPr>
            <w:r w:rsidRPr="00DF43A1">
              <w:rPr>
                <w:rFonts w:eastAsia="Calibri"/>
                <w:sz w:val="20"/>
                <w:szCs w:val="20"/>
              </w:rPr>
              <w:t xml:space="preserve">The second phase of the swallow is the </w:t>
            </w:r>
            <w:r w:rsidRPr="00DF43A1">
              <w:rPr>
                <w:rFonts w:eastAsia="Calibri"/>
                <w:b/>
                <w:sz w:val="20"/>
                <w:szCs w:val="20"/>
              </w:rPr>
              <w:t>oral trans</w:t>
            </w:r>
            <w:r w:rsidR="00DF43A1">
              <w:rPr>
                <w:rFonts w:eastAsia="Calibri"/>
                <w:b/>
                <w:sz w:val="20"/>
                <w:szCs w:val="20"/>
              </w:rPr>
              <w:t>it phase</w:t>
            </w:r>
            <w:r w:rsidRPr="00DF43A1">
              <w:rPr>
                <w:rFonts w:eastAsia="Calibri"/>
                <w:b/>
                <w:sz w:val="20"/>
                <w:szCs w:val="20"/>
              </w:rPr>
              <w:t>.</w:t>
            </w:r>
            <w:r w:rsidRPr="00DF43A1">
              <w:rPr>
                <w:rFonts w:eastAsia="Calibri"/>
                <w:sz w:val="20"/>
                <w:szCs w:val="20"/>
              </w:rPr>
              <w:t xml:space="preserve"> In this stage, the tongue moves anteriorly to posteriorly to move the prepared bolus towards the pharynx. This phase lasts approximately 1-1.5 seconds. As the tongue pushes the bolus back, sensory receptors in the oropharynx trigger a pharyngeal swallow. </w:t>
            </w:r>
          </w:p>
          <w:p w14:paraId="71FB17A5" w14:textId="77777777" w:rsidR="00856048" w:rsidRPr="00DF43A1" w:rsidRDefault="00856048" w:rsidP="002F5A81">
            <w:pPr>
              <w:pStyle w:val="ListParagraph"/>
              <w:numPr>
                <w:ilvl w:val="0"/>
                <w:numId w:val="4"/>
              </w:numPr>
              <w:rPr>
                <w:rFonts w:eastAsia="Calibri"/>
                <w:sz w:val="20"/>
                <w:szCs w:val="20"/>
              </w:rPr>
            </w:pPr>
            <w:r w:rsidRPr="00DF43A1">
              <w:rPr>
                <w:rFonts w:eastAsia="Calibri"/>
                <w:sz w:val="20"/>
                <w:szCs w:val="20"/>
              </w:rPr>
              <w:t xml:space="preserve">The third phase of the swallow is the </w:t>
            </w:r>
            <w:r w:rsidRPr="00DF43A1">
              <w:rPr>
                <w:rFonts w:eastAsia="Calibri"/>
                <w:b/>
                <w:sz w:val="20"/>
                <w:szCs w:val="20"/>
              </w:rPr>
              <w:t>pharyngeal phase</w:t>
            </w:r>
            <w:r w:rsidRPr="00DF43A1">
              <w:rPr>
                <w:rFonts w:eastAsia="Calibri"/>
                <w:sz w:val="20"/>
                <w:szCs w:val="20"/>
              </w:rPr>
              <w:t xml:space="preserve">. </w:t>
            </w:r>
            <w:r w:rsidR="00DF43A1" w:rsidRPr="00DF43A1">
              <w:rPr>
                <w:rFonts w:eastAsia="Calibri"/>
                <w:sz w:val="20"/>
                <w:szCs w:val="20"/>
              </w:rPr>
              <w:t xml:space="preserve">During this phase, breathing is suspended. </w:t>
            </w:r>
            <w:r w:rsidRPr="00DF43A1">
              <w:rPr>
                <w:rFonts w:eastAsia="Calibri"/>
                <w:sz w:val="20"/>
                <w:szCs w:val="20"/>
              </w:rPr>
              <w:t xml:space="preserve">In this phase, many physiological responses occur almost simultaneously. First, the velum is elevated in order to prevent leakage into the nasal cavity. Next, the laryngeal muscles elevate the larynx, therefore contributing t the protection of the airway in order to prevent aspiration. </w:t>
            </w:r>
            <w:r w:rsidR="00DF43A1" w:rsidRPr="00DF43A1">
              <w:rPr>
                <w:rFonts w:eastAsia="Calibri"/>
                <w:sz w:val="20"/>
                <w:szCs w:val="20"/>
              </w:rPr>
              <w:t xml:space="preserve">The vocal folds adduct and the epiglottis moves to cover the airway. The tongue base moves to the posterior pharyngeal wall to aid in delivering the bolus. The pharyngeal muscles then begin to constrict from top to bottom. This phase ends as the bolus reaches the upper esophageal sphincter and breathing resumes. </w:t>
            </w:r>
          </w:p>
          <w:p w14:paraId="1AF9220F" w14:textId="1AFF3DD8" w:rsidR="00DF43A1" w:rsidRPr="002F5A81" w:rsidRDefault="00DF43A1" w:rsidP="002F5A81">
            <w:pPr>
              <w:pStyle w:val="ListParagraph"/>
              <w:numPr>
                <w:ilvl w:val="0"/>
                <w:numId w:val="4"/>
              </w:numPr>
              <w:rPr>
                <w:rFonts w:eastAsia="Calibri"/>
                <w:b/>
                <w:sz w:val="20"/>
                <w:szCs w:val="20"/>
              </w:rPr>
            </w:pPr>
            <w:r w:rsidRPr="00DF43A1">
              <w:rPr>
                <w:rFonts w:eastAsia="Calibri"/>
                <w:sz w:val="20"/>
                <w:szCs w:val="20"/>
              </w:rPr>
              <w:t xml:space="preserve">The final phase of the swallow is the </w:t>
            </w:r>
            <w:r w:rsidRPr="00DF43A1">
              <w:rPr>
                <w:rFonts w:eastAsia="Calibri"/>
                <w:b/>
                <w:sz w:val="20"/>
                <w:szCs w:val="20"/>
              </w:rPr>
              <w:t>esophageal phase</w:t>
            </w:r>
            <w:r w:rsidRPr="00DF43A1">
              <w:rPr>
                <w:rFonts w:eastAsia="Calibri"/>
                <w:sz w:val="20"/>
                <w:szCs w:val="20"/>
              </w:rPr>
              <w:t xml:space="preserve">. The bolus enters the esophagus through the open upper esophageal sphincter. The esophageal muscles begin to contract and peristalsis moves the bolus towards the stomach. At the inferior portion of the esophagus, the lower esophageal relaxes and allows the bolus to enter the stomach. This phase can last anywhere from 8-20 seconds. Once the bolus has </w:t>
            </w:r>
            <w:proofErr w:type="gramStart"/>
            <w:r w:rsidRPr="00DF43A1">
              <w:rPr>
                <w:rFonts w:eastAsia="Calibri"/>
                <w:sz w:val="20"/>
                <w:szCs w:val="20"/>
              </w:rPr>
              <w:t>enter</w:t>
            </w:r>
            <w:proofErr w:type="gramEnd"/>
            <w:r w:rsidRPr="00DF43A1">
              <w:rPr>
                <w:rFonts w:eastAsia="Calibri"/>
                <w:sz w:val="20"/>
                <w:szCs w:val="20"/>
              </w:rPr>
              <w:t xml:space="preserve"> the stomach, digestion begins.</w:t>
            </w:r>
            <w:r>
              <w:rPr>
                <w:rFonts w:eastAsia="Calibri"/>
                <w:b/>
                <w:sz w:val="20"/>
                <w:szCs w:val="20"/>
              </w:rPr>
              <w:t xml:space="preserve"> </w:t>
            </w:r>
          </w:p>
        </w:tc>
      </w:tr>
      <w:tr w:rsidR="00D66BCD" w:rsidRPr="00D66BCD" w14:paraId="50041DDC" w14:textId="77777777" w:rsidTr="00295454">
        <w:trPr>
          <w:trHeight w:val="485"/>
        </w:trPr>
        <w:tc>
          <w:tcPr>
            <w:tcW w:w="611" w:type="pct"/>
          </w:tcPr>
          <w:p w14:paraId="216DEFB4" w14:textId="77777777" w:rsidR="00D66BCD" w:rsidRPr="00D66BCD" w:rsidRDefault="00D66BCD" w:rsidP="00D66BCD">
            <w:pPr>
              <w:rPr>
                <w:rFonts w:eastAsia="Calibri"/>
                <w:b/>
                <w:sz w:val="20"/>
                <w:szCs w:val="20"/>
              </w:rPr>
            </w:pPr>
            <w:r w:rsidRPr="00D66BCD">
              <w:rPr>
                <w:rFonts w:eastAsia="Calibri"/>
                <w:b/>
                <w:sz w:val="20"/>
                <w:szCs w:val="20"/>
              </w:rPr>
              <w:t>Daily swallowing activities</w:t>
            </w:r>
          </w:p>
        </w:tc>
        <w:tc>
          <w:tcPr>
            <w:tcW w:w="2703" w:type="pct"/>
          </w:tcPr>
          <w:p w14:paraId="47F9088F" w14:textId="22BDDE94" w:rsidR="001646E7" w:rsidRPr="001646E7" w:rsidRDefault="00D66BCD" w:rsidP="001646E7">
            <w:pPr>
              <w:rPr>
                <w:rFonts w:eastAsia="Times New Roman"/>
              </w:rPr>
            </w:pPr>
            <w:r w:rsidRPr="00D66BCD">
              <w:rPr>
                <w:rFonts w:eastAsia="Calibri"/>
                <w:b/>
                <w:sz w:val="20"/>
                <w:szCs w:val="20"/>
              </w:rPr>
              <w:t xml:space="preserve">Normal </w:t>
            </w:r>
            <w:proofErr w:type="spellStart"/>
            <w:r w:rsidRPr="00D66BCD">
              <w:rPr>
                <w:rFonts w:eastAsia="Calibri"/>
                <w:b/>
                <w:sz w:val="20"/>
                <w:szCs w:val="20"/>
              </w:rPr>
              <w:t>swallo</w:t>
            </w:r>
            <w:proofErr w:type="spellEnd"/>
            <w:r w:rsidR="001646E7" w:rsidRPr="001646E7">
              <w:rPr>
                <w:rFonts w:eastAsia="Times New Roman"/>
              </w:rPr>
              <w:t xml:space="preserve"> </w:t>
            </w:r>
          </w:p>
          <w:tbl>
            <w:tblPr>
              <w:tblW w:w="0" w:type="auto"/>
              <w:tblCellMar>
                <w:top w:w="15" w:type="dxa"/>
                <w:left w:w="15" w:type="dxa"/>
                <w:bottom w:w="15" w:type="dxa"/>
                <w:right w:w="15" w:type="dxa"/>
              </w:tblCellMar>
              <w:tblLook w:val="04A0" w:firstRow="1" w:lastRow="0" w:firstColumn="1" w:lastColumn="0" w:noHBand="0" w:noVBand="1"/>
            </w:tblPr>
            <w:tblGrid>
              <w:gridCol w:w="8141"/>
            </w:tblGrid>
            <w:tr w:rsidR="001646E7" w:rsidRPr="001646E7" w14:paraId="2A308728" w14:textId="77777777" w:rsidTr="001646E7">
              <w:trPr>
                <w:trHeight w:val="8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CA2F90" w14:textId="77777777" w:rsidR="001646E7" w:rsidRPr="001646E7" w:rsidRDefault="001646E7" w:rsidP="001646E7">
                  <w:r w:rsidRPr="001646E7">
                    <w:rPr>
                      <w:color w:val="000000"/>
                      <w:sz w:val="20"/>
                      <w:szCs w:val="20"/>
                    </w:rPr>
                    <w:t xml:space="preserve">CN V: Trigeminal </w:t>
                  </w:r>
                </w:p>
                <w:p w14:paraId="628F8A71" w14:textId="77777777" w:rsidR="001646E7" w:rsidRPr="001646E7" w:rsidRDefault="001646E7" w:rsidP="001646E7">
                  <w:pPr>
                    <w:numPr>
                      <w:ilvl w:val="0"/>
                      <w:numId w:val="5"/>
                    </w:numPr>
                    <w:textAlignment w:val="baseline"/>
                    <w:rPr>
                      <w:color w:val="000000"/>
                      <w:sz w:val="20"/>
                      <w:szCs w:val="20"/>
                    </w:rPr>
                  </w:pPr>
                  <w:r w:rsidRPr="001646E7">
                    <w:rPr>
                      <w:color w:val="000000"/>
                      <w:sz w:val="20"/>
                      <w:szCs w:val="20"/>
                    </w:rPr>
                    <w:t xml:space="preserve">Innervates mastication muscles to chew and break down food. Muscles include the masseter, temporalis, and medial and lateral </w:t>
                  </w:r>
                  <w:proofErr w:type="spellStart"/>
                  <w:r w:rsidRPr="001646E7">
                    <w:rPr>
                      <w:color w:val="000000"/>
                      <w:sz w:val="20"/>
                      <w:szCs w:val="20"/>
                    </w:rPr>
                    <w:t>pterygoid</w:t>
                  </w:r>
                  <w:proofErr w:type="spellEnd"/>
                  <w:r w:rsidRPr="001646E7">
                    <w:rPr>
                      <w:color w:val="000000"/>
                      <w:sz w:val="20"/>
                      <w:szCs w:val="20"/>
                    </w:rPr>
                    <w:t xml:space="preserve"> muscles. The masseter is responsible for closing the mandible and this cutting the food with the incisors. The temporalis and </w:t>
                  </w:r>
                  <w:proofErr w:type="spellStart"/>
                  <w:r w:rsidRPr="001646E7">
                    <w:rPr>
                      <w:color w:val="000000"/>
                      <w:sz w:val="20"/>
                      <w:szCs w:val="20"/>
                    </w:rPr>
                    <w:t>pterygoid</w:t>
                  </w:r>
                  <w:proofErr w:type="spellEnd"/>
                  <w:r w:rsidRPr="001646E7">
                    <w:rPr>
                      <w:color w:val="000000"/>
                      <w:sz w:val="20"/>
                      <w:szCs w:val="20"/>
                    </w:rPr>
                    <w:t xml:space="preserve"> muscles are responsible for for grinding food with the molars. </w:t>
                  </w:r>
                </w:p>
                <w:p w14:paraId="37BEF6CE" w14:textId="77777777" w:rsidR="001646E7" w:rsidRPr="001646E7" w:rsidRDefault="001646E7" w:rsidP="001646E7">
                  <w:pPr>
                    <w:numPr>
                      <w:ilvl w:val="0"/>
                      <w:numId w:val="5"/>
                    </w:numPr>
                    <w:textAlignment w:val="baseline"/>
                    <w:rPr>
                      <w:color w:val="000000"/>
                      <w:sz w:val="20"/>
                      <w:szCs w:val="20"/>
                    </w:rPr>
                  </w:pPr>
                  <w:r w:rsidRPr="001646E7">
                    <w:rPr>
                      <w:color w:val="000000"/>
                      <w:sz w:val="20"/>
                      <w:szCs w:val="20"/>
                    </w:rPr>
                    <w:t xml:space="preserve">Also innervates mandibular elevators and depressors such as the </w:t>
                  </w:r>
                  <w:proofErr w:type="spellStart"/>
                  <w:r w:rsidRPr="001646E7">
                    <w:rPr>
                      <w:color w:val="000000"/>
                      <w:sz w:val="20"/>
                      <w:szCs w:val="20"/>
                    </w:rPr>
                    <w:t>mylohyoid</w:t>
                  </w:r>
                  <w:proofErr w:type="spellEnd"/>
                  <w:r w:rsidRPr="001646E7">
                    <w:rPr>
                      <w:color w:val="000000"/>
                      <w:sz w:val="20"/>
                      <w:szCs w:val="20"/>
                    </w:rPr>
                    <w:t xml:space="preserve"> and the digastric muscle. </w:t>
                  </w:r>
                </w:p>
                <w:p w14:paraId="340F09F0" w14:textId="77777777" w:rsidR="001646E7" w:rsidRPr="001646E7" w:rsidRDefault="001646E7" w:rsidP="001646E7">
                  <w:pPr>
                    <w:numPr>
                      <w:ilvl w:val="0"/>
                      <w:numId w:val="5"/>
                    </w:numPr>
                    <w:textAlignment w:val="baseline"/>
                    <w:rPr>
                      <w:color w:val="000000"/>
                      <w:sz w:val="20"/>
                      <w:szCs w:val="20"/>
                    </w:rPr>
                  </w:pPr>
                  <w:r w:rsidRPr="001646E7">
                    <w:rPr>
                      <w:color w:val="000000"/>
                      <w:sz w:val="20"/>
                      <w:szCs w:val="20"/>
                    </w:rPr>
                    <w:t>Responsible for touch, pain, temperature and vibration for the face, mouth, and anterior ⅔ of the tongue.</w:t>
                  </w:r>
                </w:p>
                <w:p w14:paraId="3FFD1281" w14:textId="77777777" w:rsidR="001646E7" w:rsidRPr="001646E7" w:rsidRDefault="001646E7" w:rsidP="001646E7">
                  <w:r w:rsidRPr="001646E7">
                    <w:rPr>
                      <w:color w:val="000000"/>
                      <w:sz w:val="20"/>
                      <w:szCs w:val="20"/>
                    </w:rPr>
                    <w:t xml:space="preserve">CN VII: Facial Nerve </w:t>
                  </w:r>
                </w:p>
                <w:p w14:paraId="6ABBC24A" w14:textId="77777777" w:rsidR="001646E7" w:rsidRPr="001646E7" w:rsidRDefault="001646E7" w:rsidP="001646E7">
                  <w:pPr>
                    <w:numPr>
                      <w:ilvl w:val="0"/>
                      <w:numId w:val="6"/>
                    </w:numPr>
                    <w:textAlignment w:val="baseline"/>
                    <w:rPr>
                      <w:color w:val="000000"/>
                      <w:sz w:val="20"/>
                      <w:szCs w:val="20"/>
                    </w:rPr>
                  </w:pPr>
                  <w:r w:rsidRPr="001646E7">
                    <w:rPr>
                      <w:color w:val="000000"/>
                      <w:sz w:val="20"/>
                      <w:szCs w:val="20"/>
                    </w:rPr>
                    <w:t xml:space="preserve">Innervates muscles of the face, including labial muscles orbicularis </w:t>
                  </w:r>
                  <w:proofErr w:type="spellStart"/>
                  <w:r w:rsidRPr="001646E7">
                    <w:rPr>
                      <w:color w:val="000000"/>
                      <w:sz w:val="20"/>
                      <w:szCs w:val="20"/>
                    </w:rPr>
                    <w:t>oris</w:t>
                  </w:r>
                  <w:proofErr w:type="spellEnd"/>
                  <w:r w:rsidRPr="001646E7">
                    <w:rPr>
                      <w:color w:val="000000"/>
                      <w:sz w:val="20"/>
                      <w:szCs w:val="20"/>
                    </w:rPr>
                    <w:t xml:space="preserve"> and </w:t>
                  </w:r>
                  <w:proofErr w:type="spellStart"/>
                  <w:r w:rsidRPr="001646E7">
                    <w:rPr>
                      <w:color w:val="000000"/>
                      <w:sz w:val="20"/>
                      <w:szCs w:val="20"/>
                    </w:rPr>
                    <w:t>buccinator</w:t>
                  </w:r>
                  <w:proofErr w:type="spellEnd"/>
                  <w:r w:rsidRPr="001646E7">
                    <w:rPr>
                      <w:color w:val="000000"/>
                      <w:sz w:val="20"/>
                      <w:szCs w:val="20"/>
                    </w:rPr>
                    <w:t xml:space="preserve">. These muscles are responsible for creating a labial seal in order to keep the bolus within the oral cavity. </w:t>
                  </w:r>
                </w:p>
                <w:p w14:paraId="40199282" w14:textId="77777777" w:rsidR="001646E7" w:rsidRPr="001646E7" w:rsidRDefault="001646E7" w:rsidP="001646E7">
                  <w:pPr>
                    <w:numPr>
                      <w:ilvl w:val="0"/>
                      <w:numId w:val="6"/>
                    </w:numPr>
                    <w:textAlignment w:val="baseline"/>
                    <w:rPr>
                      <w:color w:val="000000"/>
                      <w:sz w:val="20"/>
                      <w:szCs w:val="20"/>
                    </w:rPr>
                  </w:pPr>
                  <w:r w:rsidRPr="001646E7">
                    <w:rPr>
                      <w:color w:val="000000"/>
                      <w:sz w:val="20"/>
                      <w:szCs w:val="20"/>
                    </w:rPr>
                    <w:t xml:space="preserve">Responsible for the production of saliva in order to keep the mouth moist and assist in the breakdown of food during mastication. </w:t>
                  </w:r>
                </w:p>
                <w:p w14:paraId="30166835" w14:textId="77777777" w:rsidR="001646E7" w:rsidRPr="001646E7" w:rsidRDefault="001646E7" w:rsidP="001646E7">
                  <w:pPr>
                    <w:numPr>
                      <w:ilvl w:val="0"/>
                      <w:numId w:val="6"/>
                    </w:numPr>
                    <w:textAlignment w:val="baseline"/>
                    <w:rPr>
                      <w:color w:val="000000"/>
                      <w:sz w:val="20"/>
                      <w:szCs w:val="20"/>
                    </w:rPr>
                  </w:pPr>
                  <w:r w:rsidRPr="001646E7">
                    <w:rPr>
                      <w:color w:val="000000"/>
                      <w:sz w:val="20"/>
                      <w:szCs w:val="20"/>
                    </w:rPr>
                    <w:t xml:space="preserve">Responsible for taste in the anterior ⅔ of the tongue. </w:t>
                  </w:r>
                </w:p>
                <w:p w14:paraId="66A89111" w14:textId="77777777" w:rsidR="001646E7" w:rsidRPr="001646E7" w:rsidRDefault="001646E7" w:rsidP="001646E7">
                  <w:pPr>
                    <w:numPr>
                      <w:ilvl w:val="0"/>
                      <w:numId w:val="6"/>
                    </w:numPr>
                    <w:textAlignment w:val="baseline"/>
                    <w:rPr>
                      <w:color w:val="000000"/>
                      <w:sz w:val="20"/>
                      <w:szCs w:val="20"/>
                    </w:rPr>
                  </w:pPr>
                  <w:r w:rsidRPr="001646E7">
                    <w:rPr>
                      <w:color w:val="000000"/>
                      <w:sz w:val="20"/>
                      <w:szCs w:val="20"/>
                    </w:rPr>
                    <w:t xml:space="preserve">Innervates the posterior belly of the digastric muscle, which aids in mandibular movement. </w:t>
                  </w:r>
                </w:p>
                <w:p w14:paraId="6BD234E1" w14:textId="77777777" w:rsidR="001646E7" w:rsidRPr="001646E7" w:rsidRDefault="001646E7" w:rsidP="001646E7">
                  <w:r w:rsidRPr="001646E7">
                    <w:rPr>
                      <w:color w:val="000000"/>
                      <w:sz w:val="20"/>
                      <w:szCs w:val="20"/>
                    </w:rPr>
                    <w:t xml:space="preserve">CN IX Glossopharyngeal </w:t>
                  </w:r>
                </w:p>
                <w:p w14:paraId="7A4397AB" w14:textId="77777777" w:rsidR="001646E7" w:rsidRPr="001646E7" w:rsidRDefault="001646E7" w:rsidP="001646E7">
                  <w:pPr>
                    <w:numPr>
                      <w:ilvl w:val="0"/>
                      <w:numId w:val="7"/>
                    </w:numPr>
                    <w:textAlignment w:val="baseline"/>
                    <w:rPr>
                      <w:color w:val="000000"/>
                      <w:sz w:val="20"/>
                      <w:szCs w:val="20"/>
                    </w:rPr>
                  </w:pPr>
                  <w:r w:rsidRPr="001646E7">
                    <w:rPr>
                      <w:color w:val="000000"/>
                      <w:sz w:val="20"/>
                      <w:szCs w:val="20"/>
                    </w:rPr>
                    <w:t>Innervates the pharyngeal muscles (superior, middle, inferior) used to move the bolus down towards the esophagus in the pharyngeal phase</w:t>
                  </w:r>
                </w:p>
                <w:p w14:paraId="0E1E65BF" w14:textId="77777777" w:rsidR="001646E7" w:rsidRPr="001646E7" w:rsidRDefault="001646E7" w:rsidP="001646E7">
                  <w:pPr>
                    <w:numPr>
                      <w:ilvl w:val="0"/>
                      <w:numId w:val="7"/>
                    </w:numPr>
                    <w:textAlignment w:val="baseline"/>
                    <w:rPr>
                      <w:color w:val="000000"/>
                      <w:sz w:val="20"/>
                      <w:szCs w:val="20"/>
                    </w:rPr>
                  </w:pPr>
                  <w:r w:rsidRPr="001646E7">
                    <w:rPr>
                      <w:color w:val="000000"/>
                      <w:sz w:val="20"/>
                      <w:szCs w:val="20"/>
                    </w:rPr>
                    <w:t xml:space="preserve">Responsible for taste in the posterior ⅓ of the tongue. </w:t>
                  </w:r>
                </w:p>
                <w:p w14:paraId="3F321625" w14:textId="77777777" w:rsidR="001646E7" w:rsidRPr="001646E7" w:rsidRDefault="001646E7" w:rsidP="001646E7">
                  <w:pPr>
                    <w:numPr>
                      <w:ilvl w:val="0"/>
                      <w:numId w:val="7"/>
                    </w:numPr>
                    <w:textAlignment w:val="baseline"/>
                    <w:rPr>
                      <w:color w:val="000000"/>
                      <w:sz w:val="20"/>
                      <w:szCs w:val="20"/>
                    </w:rPr>
                  </w:pPr>
                  <w:r w:rsidRPr="001646E7">
                    <w:rPr>
                      <w:color w:val="000000"/>
                      <w:sz w:val="20"/>
                      <w:szCs w:val="20"/>
                    </w:rPr>
                    <w:t>Innervates the parotid gland, which is responsible for the production of saliva.</w:t>
                  </w:r>
                </w:p>
                <w:p w14:paraId="7F886766" w14:textId="77777777" w:rsidR="001646E7" w:rsidRPr="001646E7" w:rsidRDefault="001646E7" w:rsidP="001646E7">
                  <w:r w:rsidRPr="001646E7">
                    <w:rPr>
                      <w:color w:val="000000"/>
                      <w:sz w:val="20"/>
                      <w:szCs w:val="20"/>
                    </w:rPr>
                    <w:t xml:space="preserve">CN X: </w:t>
                  </w:r>
                  <w:proofErr w:type="spellStart"/>
                  <w:r w:rsidRPr="001646E7">
                    <w:rPr>
                      <w:color w:val="000000"/>
                      <w:sz w:val="20"/>
                      <w:szCs w:val="20"/>
                    </w:rPr>
                    <w:t>Vagus</w:t>
                  </w:r>
                  <w:proofErr w:type="spellEnd"/>
                  <w:r w:rsidRPr="001646E7">
                    <w:rPr>
                      <w:color w:val="000000"/>
                      <w:sz w:val="20"/>
                      <w:szCs w:val="20"/>
                    </w:rPr>
                    <w:t xml:space="preserve"> </w:t>
                  </w:r>
                </w:p>
                <w:p w14:paraId="2EF3ABB7" w14:textId="77777777" w:rsidR="001646E7" w:rsidRPr="001646E7" w:rsidRDefault="001646E7" w:rsidP="001646E7">
                  <w:pPr>
                    <w:numPr>
                      <w:ilvl w:val="0"/>
                      <w:numId w:val="8"/>
                    </w:numPr>
                    <w:textAlignment w:val="baseline"/>
                    <w:rPr>
                      <w:color w:val="000000"/>
                      <w:sz w:val="20"/>
                      <w:szCs w:val="20"/>
                    </w:rPr>
                  </w:pPr>
                  <w:r w:rsidRPr="001646E7">
                    <w:rPr>
                      <w:color w:val="000000"/>
                      <w:sz w:val="20"/>
                      <w:szCs w:val="20"/>
                    </w:rPr>
                    <w:t xml:space="preserve">Innervates the </w:t>
                  </w:r>
                  <w:proofErr w:type="spellStart"/>
                  <w:r w:rsidRPr="001646E7">
                    <w:rPr>
                      <w:color w:val="000000"/>
                      <w:sz w:val="20"/>
                      <w:szCs w:val="20"/>
                    </w:rPr>
                    <w:t>levator</w:t>
                  </w:r>
                  <w:proofErr w:type="spellEnd"/>
                  <w:r w:rsidRPr="001646E7">
                    <w:rPr>
                      <w:color w:val="000000"/>
                      <w:sz w:val="20"/>
                      <w:szCs w:val="20"/>
                    </w:rPr>
                    <w:t xml:space="preserve"> </w:t>
                  </w:r>
                  <w:proofErr w:type="spellStart"/>
                  <w:r w:rsidRPr="001646E7">
                    <w:rPr>
                      <w:color w:val="000000"/>
                      <w:sz w:val="20"/>
                      <w:szCs w:val="20"/>
                    </w:rPr>
                    <w:t>veli</w:t>
                  </w:r>
                  <w:proofErr w:type="spellEnd"/>
                  <w:r w:rsidRPr="001646E7">
                    <w:rPr>
                      <w:color w:val="000000"/>
                      <w:sz w:val="20"/>
                      <w:szCs w:val="20"/>
                    </w:rPr>
                    <w:t xml:space="preserve"> </w:t>
                  </w:r>
                  <w:proofErr w:type="spellStart"/>
                  <w:r w:rsidRPr="001646E7">
                    <w:rPr>
                      <w:color w:val="000000"/>
                      <w:sz w:val="20"/>
                      <w:szCs w:val="20"/>
                    </w:rPr>
                    <w:t>palatini</w:t>
                  </w:r>
                  <w:proofErr w:type="spellEnd"/>
                  <w:r w:rsidRPr="001646E7">
                    <w:rPr>
                      <w:color w:val="000000"/>
                      <w:sz w:val="20"/>
                      <w:szCs w:val="20"/>
                    </w:rPr>
                    <w:t xml:space="preserve"> and </w:t>
                  </w:r>
                  <w:proofErr w:type="spellStart"/>
                  <w:r w:rsidRPr="001646E7">
                    <w:rPr>
                      <w:color w:val="000000"/>
                      <w:sz w:val="20"/>
                      <w:szCs w:val="20"/>
                    </w:rPr>
                    <w:t>palatoglossus</w:t>
                  </w:r>
                  <w:proofErr w:type="spellEnd"/>
                  <w:r w:rsidRPr="001646E7">
                    <w:rPr>
                      <w:color w:val="000000"/>
                      <w:sz w:val="20"/>
                      <w:szCs w:val="20"/>
                    </w:rPr>
                    <w:t xml:space="preserve"> muscles, which raise the velum and seal off the nasal cavity.</w:t>
                  </w:r>
                </w:p>
                <w:p w14:paraId="550F6877" w14:textId="77777777" w:rsidR="001646E7" w:rsidRPr="001646E7" w:rsidRDefault="001646E7" w:rsidP="001646E7">
                  <w:pPr>
                    <w:numPr>
                      <w:ilvl w:val="0"/>
                      <w:numId w:val="8"/>
                    </w:numPr>
                    <w:textAlignment w:val="baseline"/>
                    <w:rPr>
                      <w:color w:val="000000"/>
                      <w:sz w:val="20"/>
                      <w:szCs w:val="20"/>
                    </w:rPr>
                  </w:pPr>
                  <w:r w:rsidRPr="001646E7">
                    <w:rPr>
                      <w:color w:val="000000"/>
                      <w:sz w:val="20"/>
                      <w:szCs w:val="20"/>
                    </w:rPr>
                    <w:lastRenderedPageBreak/>
                    <w:t xml:space="preserve">Innervates the superior, middle, and inferior pharyngeal constrictors, which help squeeze the bolus down towards the esophagus. </w:t>
                  </w:r>
                </w:p>
                <w:p w14:paraId="4B278707" w14:textId="77777777" w:rsidR="001646E7" w:rsidRPr="001646E7" w:rsidRDefault="001646E7" w:rsidP="001646E7">
                  <w:pPr>
                    <w:numPr>
                      <w:ilvl w:val="0"/>
                      <w:numId w:val="8"/>
                    </w:numPr>
                    <w:textAlignment w:val="baseline"/>
                    <w:rPr>
                      <w:color w:val="000000"/>
                      <w:sz w:val="20"/>
                      <w:szCs w:val="20"/>
                    </w:rPr>
                  </w:pPr>
                  <w:r w:rsidRPr="001646E7">
                    <w:rPr>
                      <w:color w:val="000000"/>
                      <w:sz w:val="20"/>
                      <w:szCs w:val="20"/>
                    </w:rPr>
                    <w:t xml:space="preserve">Innervates the </w:t>
                  </w:r>
                  <w:proofErr w:type="spellStart"/>
                  <w:r w:rsidRPr="001646E7">
                    <w:rPr>
                      <w:color w:val="000000"/>
                      <w:sz w:val="20"/>
                      <w:szCs w:val="20"/>
                    </w:rPr>
                    <w:t>cricopharyngeus</w:t>
                  </w:r>
                  <w:proofErr w:type="spellEnd"/>
                  <w:r w:rsidRPr="001646E7">
                    <w:rPr>
                      <w:color w:val="000000"/>
                      <w:sz w:val="20"/>
                      <w:szCs w:val="20"/>
                    </w:rPr>
                    <w:t xml:space="preserve">, which powers the upper esophageal sphincter. When relaxed, the bolus is able to pass through to the esophagus. </w:t>
                  </w:r>
                </w:p>
                <w:p w14:paraId="467403AA" w14:textId="77777777" w:rsidR="001646E7" w:rsidRPr="001646E7" w:rsidRDefault="001646E7" w:rsidP="001646E7">
                  <w:pPr>
                    <w:numPr>
                      <w:ilvl w:val="0"/>
                      <w:numId w:val="8"/>
                    </w:numPr>
                    <w:textAlignment w:val="baseline"/>
                    <w:rPr>
                      <w:color w:val="000000"/>
                      <w:sz w:val="20"/>
                      <w:szCs w:val="20"/>
                    </w:rPr>
                  </w:pPr>
                  <w:r w:rsidRPr="001646E7">
                    <w:rPr>
                      <w:color w:val="000000"/>
                      <w:sz w:val="20"/>
                      <w:szCs w:val="20"/>
                    </w:rPr>
                    <w:t>Innervates the cervical portion of the muscles of the esophagus used in peristalsis.</w:t>
                  </w:r>
                </w:p>
                <w:p w14:paraId="6BBD6EB7" w14:textId="77777777" w:rsidR="001646E7" w:rsidRPr="001646E7" w:rsidRDefault="001646E7" w:rsidP="001646E7">
                  <w:pPr>
                    <w:numPr>
                      <w:ilvl w:val="0"/>
                      <w:numId w:val="8"/>
                    </w:numPr>
                    <w:textAlignment w:val="baseline"/>
                    <w:rPr>
                      <w:color w:val="000000"/>
                      <w:sz w:val="20"/>
                      <w:szCs w:val="20"/>
                    </w:rPr>
                  </w:pPr>
                  <w:r w:rsidRPr="001646E7">
                    <w:rPr>
                      <w:color w:val="000000"/>
                      <w:sz w:val="20"/>
                      <w:szCs w:val="20"/>
                    </w:rPr>
                    <w:t>Responsible for taste in the epiglottis and pharynx.</w:t>
                  </w:r>
                </w:p>
                <w:p w14:paraId="5D4D5A24" w14:textId="77777777" w:rsidR="001646E7" w:rsidRPr="001646E7" w:rsidRDefault="001646E7" w:rsidP="001646E7">
                  <w:r w:rsidRPr="001646E7">
                    <w:rPr>
                      <w:color w:val="000000"/>
                      <w:sz w:val="20"/>
                      <w:szCs w:val="20"/>
                    </w:rPr>
                    <w:t xml:space="preserve">CN XI: Spinal Accessory </w:t>
                  </w:r>
                </w:p>
                <w:p w14:paraId="7B87F410" w14:textId="77777777" w:rsidR="001646E7" w:rsidRPr="001646E7" w:rsidRDefault="001646E7" w:rsidP="001646E7">
                  <w:pPr>
                    <w:numPr>
                      <w:ilvl w:val="0"/>
                      <w:numId w:val="9"/>
                    </w:numPr>
                    <w:textAlignment w:val="baseline"/>
                    <w:rPr>
                      <w:color w:val="000000"/>
                      <w:sz w:val="20"/>
                      <w:szCs w:val="20"/>
                    </w:rPr>
                  </w:pPr>
                  <w:r w:rsidRPr="001646E7">
                    <w:rPr>
                      <w:color w:val="000000"/>
                      <w:sz w:val="20"/>
                      <w:szCs w:val="20"/>
                    </w:rPr>
                    <w:t xml:space="preserve">Assists the </w:t>
                  </w:r>
                  <w:proofErr w:type="spellStart"/>
                  <w:r w:rsidRPr="001646E7">
                    <w:rPr>
                      <w:color w:val="000000"/>
                      <w:sz w:val="20"/>
                      <w:szCs w:val="20"/>
                    </w:rPr>
                    <w:t>vagus</w:t>
                  </w:r>
                  <w:proofErr w:type="spellEnd"/>
                  <w:r w:rsidRPr="001646E7">
                    <w:rPr>
                      <w:color w:val="000000"/>
                      <w:sz w:val="20"/>
                      <w:szCs w:val="20"/>
                    </w:rPr>
                    <w:t xml:space="preserve"> nerve in innervating the muscles that elevate the velum to close off the nasal cavity. </w:t>
                  </w:r>
                </w:p>
                <w:p w14:paraId="29AAF39D" w14:textId="77777777" w:rsidR="001646E7" w:rsidRPr="001646E7" w:rsidRDefault="001646E7" w:rsidP="001646E7">
                  <w:pPr>
                    <w:numPr>
                      <w:ilvl w:val="0"/>
                      <w:numId w:val="9"/>
                    </w:numPr>
                    <w:textAlignment w:val="baseline"/>
                    <w:rPr>
                      <w:color w:val="000000"/>
                      <w:sz w:val="20"/>
                      <w:szCs w:val="20"/>
                    </w:rPr>
                  </w:pPr>
                  <w:r w:rsidRPr="001646E7">
                    <w:rPr>
                      <w:color w:val="000000"/>
                      <w:sz w:val="20"/>
                      <w:szCs w:val="20"/>
                    </w:rPr>
                    <w:t xml:space="preserve">Assists the </w:t>
                  </w:r>
                  <w:proofErr w:type="spellStart"/>
                  <w:r w:rsidRPr="001646E7">
                    <w:rPr>
                      <w:color w:val="000000"/>
                      <w:sz w:val="20"/>
                      <w:szCs w:val="20"/>
                    </w:rPr>
                    <w:t>vagus</w:t>
                  </w:r>
                  <w:proofErr w:type="spellEnd"/>
                  <w:r w:rsidRPr="001646E7">
                    <w:rPr>
                      <w:color w:val="000000"/>
                      <w:sz w:val="20"/>
                      <w:szCs w:val="20"/>
                    </w:rPr>
                    <w:t xml:space="preserve"> nerve in innervating the superior, middle, and inferior pharyngeal constrictors.</w:t>
                  </w:r>
                </w:p>
                <w:p w14:paraId="1E5093CC" w14:textId="77777777" w:rsidR="001646E7" w:rsidRPr="001646E7" w:rsidRDefault="001646E7" w:rsidP="001646E7">
                  <w:r w:rsidRPr="001646E7">
                    <w:rPr>
                      <w:color w:val="000000"/>
                      <w:sz w:val="20"/>
                      <w:szCs w:val="20"/>
                    </w:rPr>
                    <w:t>CN XII: Hypoglossal</w:t>
                  </w:r>
                </w:p>
                <w:p w14:paraId="1442B0B6" w14:textId="77777777" w:rsidR="001646E7" w:rsidRPr="001646E7" w:rsidRDefault="001646E7" w:rsidP="001646E7">
                  <w:pPr>
                    <w:numPr>
                      <w:ilvl w:val="0"/>
                      <w:numId w:val="10"/>
                    </w:numPr>
                    <w:textAlignment w:val="baseline"/>
                    <w:rPr>
                      <w:color w:val="000000"/>
                      <w:sz w:val="20"/>
                      <w:szCs w:val="20"/>
                    </w:rPr>
                  </w:pPr>
                  <w:r w:rsidRPr="001646E7">
                    <w:rPr>
                      <w:color w:val="000000"/>
                      <w:sz w:val="20"/>
                      <w:szCs w:val="20"/>
                    </w:rPr>
                    <w:t xml:space="preserve">Innervates the intrinsic and extrinsic tongue muscles (e.g., </w:t>
                  </w:r>
                  <w:proofErr w:type="spellStart"/>
                  <w:r w:rsidRPr="001646E7">
                    <w:rPr>
                      <w:color w:val="000000"/>
                      <w:sz w:val="20"/>
                      <w:szCs w:val="20"/>
                    </w:rPr>
                    <w:t>hyoglossus</w:t>
                  </w:r>
                  <w:proofErr w:type="spellEnd"/>
                  <w:r w:rsidRPr="001646E7">
                    <w:rPr>
                      <w:color w:val="000000"/>
                      <w:sz w:val="20"/>
                      <w:szCs w:val="20"/>
                    </w:rPr>
                    <w:t xml:space="preserve">, </w:t>
                  </w:r>
                  <w:proofErr w:type="spellStart"/>
                  <w:r w:rsidRPr="001646E7">
                    <w:rPr>
                      <w:color w:val="000000"/>
                      <w:sz w:val="20"/>
                      <w:szCs w:val="20"/>
                    </w:rPr>
                    <w:t>genioglossus</w:t>
                  </w:r>
                  <w:proofErr w:type="spellEnd"/>
                  <w:r w:rsidRPr="001646E7">
                    <w:rPr>
                      <w:color w:val="000000"/>
                      <w:sz w:val="20"/>
                      <w:szCs w:val="20"/>
                    </w:rPr>
                    <w:t xml:space="preserve">, </w:t>
                  </w:r>
                  <w:proofErr w:type="spellStart"/>
                  <w:r w:rsidRPr="001646E7">
                    <w:rPr>
                      <w:color w:val="000000"/>
                      <w:sz w:val="20"/>
                      <w:szCs w:val="20"/>
                    </w:rPr>
                    <w:t>palatoglossus</w:t>
                  </w:r>
                  <w:proofErr w:type="spellEnd"/>
                  <w:r w:rsidRPr="001646E7">
                    <w:rPr>
                      <w:color w:val="000000"/>
                      <w:sz w:val="20"/>
                      <w:szCs w:val="20"/>
                    </w:rPr>
                    <w:t>) which gather the bolus and move it towards the pharynx</w:t>
                  </w:r>
                </w:p>
                <w:p w14:paraId="5D81E10D" w14:textId="77777777" w:rsidR="001646E7" w:rsidRPr="001646E7" w:rsidRDefault="001646E7" w:rsidP="001646E7">
                  <w:r w:rsidRPr="001646E7">
                    <w:rPr>
                      <w:color w:val="000000"/>
                      <w:sz w:val="20"/>
                      <w:szCs w:val="20"/>
                    </w:rPr>
                    <w:t xml:space="preserve">Medulla </w:t>
                  </w:r>
                </w:p>
                <w:p w14:paraId="5AA38CA2" w14:textId="77777777" w:rsidR="001646E7" w:rsidRPr="001646E7" w:rsidRDefault="001646E7" w:rsidP="001646E7">
                  <w:pPr>
                    <w:numPr>
                      <w:ilvl w:val="0"/>
                      <w:numId w:val="11"/>
                    </w:numPr>
                    <w:textAlignment w:val="baseline"/>
                    <w:rPr>
                      <w:color w:val="000000"/>
                      <w:sz w:val="20"/>
                      <w:szCs w:val="20"/>
                    </w:rPr>
                  </w:pPr>
                  <w:r w:rsidRPr="001646E7">
                    <w:rPr>
                      <w:color w:val="000000"/>
                      <w:sz w:val="20"/>
                      <w:szCs w:val="20"/>
                    </w:rPr>
                    <w:t xml:space="preserve">Nucleus </w:t>
                  </w:r>
                  <w:proofErr w:type="spellStart"/>
                  <w:r w:rsidRPr="001646E7">
                    <w:rPr>
                      <w:color w:val="000000"/>
                      <w:sz w:val="20"/>
                      <w:szCs w:val="20"/>
                    </w:rPr>
                    <w:t>tractus</w:t>
                  </w:r>
                  <w:proofErr w:type="spellEnd"/>
                  <w:r w:rsidRPr="001646E7">
                    <w:rPr>
                      <w:color w:val="000000"/>
                      <w:sz w:val="20"/>
                      <w:szCs w:val="20"/>
                    </w:rPr>
                    <w:t xml:space="preserve"> </w:t>
                  </w:r>
                  <w:proofErr w:type="spellStart"/>
                  <w:r w:rsidRPr="001646E7">
                    <w:rPr>
                      <w:color w:val="000000"/>
                      <w:sz w:val="20"/>
                      <w:szCs w:val="20"/>
                    </w:rPr>
                    <w:t>solitarius</w:t>
                  </w:r>
                  <w:proofErr w:type="spellEnd"/>
                  <w:r w:rsidRPr="001646E7">
                    <w:rPr>
                      <w:color w:val="000000"/>
                      <w:sz w:val="20"/>
                      <w:szCs w:val="20"/>
                    </w:rPr>
                    <w:t xml:space="preserve"> (NTS): One of the specialized nuclei in the medulla. The NTS is responsible for receiving afferent information related to swallowing from CN V, VII, IX, and X. The NTS also receives sensory information from the respiratory and cardiovascular brainstem nuclei. </w:t>
                  </w:r>
                </w:p>
                <w:p w14:paraId="4F5705AE" w14:textId="77777777" w:rsidR="001646E7" w:rsidRPr="001646E7" w:rsidRDefault="001646E7" w:rsidP="001646E7">
                  <w:pPr>
                    <w:numPr>
                      <w:ilvl w:val="0"/>
                      <w:numId w:val="11"/>
                    </w:numPr>
                    <w:textAlignment w:val="baseline"/>
                    <w:rPr>
                      <w:color w:val="000000"/>
                      <w:sz w:val="20"/>
                      <w:szCs w:val="20"/>
                    </w:rPr>
                  </w:pPr>
                  <w:r w:rsidRPr="001646E7">
                    <w:rPr>
                      <w:color w:val="000000"/>
                      <w:sz w:val="20"/>
                      <w:szCs w:val="20"/>
                    </w:rPr>
                    <w:t xml:space="preserve">Nucleus </w:t>
                  </w:r>
                  <w:proofErr w:type="spellStart"/>
                  <w:r w:rsidRPr="001646E7">
                    <w:rPr>
                      <w:color w:val="000000"/>
                      <w:sz w:val="20"/>
                      <w:szCs w:val="20"/>
                    </w:rPr>
                    <w:t>Ambiguus</w:t>
                  </w:r>
                  <w:proofErr w:type="spellEnd"/>
                  <w:r w:rsidRPr="001646E7">
                    <w:rPr>
                      <w:color w:val="000000"/>
                      <w:sz w:val="20"/>
                      <w:szCs w:val="20"/>
                    </w:rPr>
                    <w:t xml:space="preserve"> (NA): Specialized nuclei in the medulla. The NA is the motor swallowing center, in that it innervates the muscles used in swallowing by way of CN IX, X, and XII. </w:t>
                  </w:r>
                </w:p>
                <w:p w14:paraId="5881D474" w14:textId="77777777" w:rsidR="001646E7" w:rsidRPr="001646E7" w:rsidRDefault="001646E7" w:rsidP="001646E7">
                  <w:r w:rsidRPr="001646E7">
                    <w:rPr>
                      <w:color w:val="000000"/>
                      <w:sz w:val="20"/>
                      <w:szCs w:val="20"/>
                    </w:rPr>
                    <w:t xml:space="preserve">Subcortical Structures </w:t>
                  </w:r>
                </w:p>
                <w:p w14:paraId="07C043BB" w14:textId="77777777" w:rsidR="001646E7" w:rsidRPr="001646E7" w:rsidRDefault="001646E7" w:rsidP="001646E7">
                  <w:pPr>
                    <w:numPr>
                      <w:ilvl w:val="0"/>
                      <w:numId w:val="12"/>
                    </w:numPr>
                    <w:textAlignment w:val="baseline"/>
                    <w:rPr>
                      <w:color w:val="000000"/>
                      <w:sz w:val="20"/>
                      <w:szCs w:val="20"/>
                    </w:rPr>
                  </w:pPr>
                  <w:r w:rsidRPr="001646E7">
                    <w:rPr>
                      <w:color w:val="000000"/>
                      <w:sz w:val="20"/>
                      <w:szCs w:val="20"/>
                    </w:rPr>
                    <w:t>The thalamus is responsible for hunger and thirst; alongside the basal ganglia, incorporates sensory information from food and liquid as the bolus passes from structures into the movement of swallowing.</w:t>
                  </w:r>
                </w:p>
                <w:p w14:paraId="75F30B63" w14:textId="77777777" w:rsidR="001646E7" w:rsidRPr="001646E7" w:rsidRDefault="001646E7" w:rsidP="001646E7">
                  <w:pPr>
                    <w:numPr>
                      <w:ilvl w:val="0"/>
                      <w:numId w:val="12"/>
                    </w:numPr>
                    <w:textAlignment w:val="baseline"/>
                    <w:rPr>
                      <w:color w:val="000000"/>
                      <w:sz w:val="20"/>
                      <w:szCs w:val="20"/>
                    </w:rPr>
                  </w:pPr>
                  <w:r w:rsidRPr="001646E7">
                    <w:rPr>
                      <w:color w:val="000000"/>
                      <w:sz w:val="20"/>
                      <w:szCs w:val="20"/>
                    </w:rPr>
                    <w:t xml:space="preserve">The thalamus relays NTS fibers to the primary sensory cortex for processing. </w:t>
                  </w:r>
                </w:p>
                <w:p w14:paraId="0808C67C" w14:textId="77777777" w:rsidR="001646E7" w:rsidRPr="001646E7" w:rsidRDefault="001646E7" w:rsidP="001646E7">
                  <w:pPr>
                    <w:numPr>
                      <w:ilvl w:val="0"/>
                      <w:numId w:val="12"/>
                    </w:numPr>
                    <w:textAlignment w:val="baseline"/>
                    <w:rPr>
                      <w:color w:val="000000"/>
                      <w:sz w:val="20"/>
                      <w:szCs w:val="20"/>
                    </w:rPr>
                  </w:pPr>
                  <w:r w:rsidRPr="001646E7">
                    <w:rPr>
                      <w:color w:val="000000"/>
                      <w:sz w:val="20"/>
                      <w:szCs w:val="20"/>
                    </w:rPr>
                    <w:t xml:space="preserve">Motor fibers begin in the inferior primary motor cortex and travel to the substantia </w:t>
                  </w:r>
                  <w:proofErr w:type="spellStart"/>
                  <w:r w:rsidRPr="001646E7">
                    <w:rPr>
                      <w:color w:val="000000"/>
                      <w:sz w:val="20"/>
                      <w:szCs w:val="20"/>
                    </w:rPr>
                    <w:t>nigra</w:t>
                  </w:r>
                  <w:proofErr w:type="spellEnd"/>
                  <w:r w:rsidRPr="001646E7">
                    <w:rPr>
                      <w:color w:val="000000"/>
                      <w:sz w:val="20"/>
                      <w:szCs w:val="20"/>
                    </w:rPr>
                    <w:t xml:space="preserve">, then to the reticular formation of the pons. </w:t>
                  </w:r>
                </w:p>
                <w:p w14:paraId="53B33DB7" w14:textId="77777777" w:rsidR="001646E7" w:rsidRPr="001646E7" w:rsidRDefault="001646E7" w:rsidP="001646E7">
                  <w:pPr>
                    <w:numPr>
                      <w:ilvl w:val="0"/>
                      <w:numId w:val="12"/>
                    </w:numPr>
                    <w:textAlignment w:val="baseline"/>
                    <w:rPr>
                      <w:color w:val="000000"/>
                      <w:sz w:val="20"/>
                      <w:szCs w:val="20"/>
                    </w:rPr>
                  </w:pPr>
                  <w:r w:rsidRPr="001646E7">
                    <w:rPr>
                      <w:color w:val="000000"/>
                      <w:sz w:val="20"/>
                      <w:szCs w:val="20"/>
                    </w:rPr>
                    <w:t>Additional fibers from the hypothalamus and cerebellum may influence swallowing.</w:t>
                  </w:r>
                </w:p>
                <w:p w14:paraId="1E5377F0" w14:textId="77777777" w:rsidR="001646E7" w:rsidRPr="001646E7" w:rsidRDefault="001646E7" w:rsidP="001646E7">
                  <w:r w:rsidRPr="001646E7">
                    <w:rPr>
                      <w:color w:val="000000"/>
                      <w:sz w:val="20"/>
                      <w:szCs w:val="20"/>
                    </w:rPr>
                    <w:t xml:space="preserve">Primary Motor Cortex </w:t>
                  </w:r>
                </w:p>
                <w:p w14:paraId="032CFF98" w14:textId="77777777" w:rsidR="001646E7" w:rsidRPr="001646E7" w:rsidRDefault="001646E7" w:rsidP="001646E7">
                  <w:pPr>
                    <w:numPr>
                      <w:ilvl w:val="0"/>
                      <w:numId w:val="13"/>
                    </w:numPr>
                    <w:textAlignment w:val="baseline"/>
                    <w:rPr>
                      <w:color w:val="000000"/>
                      <w:sz w:val="20"/>
                      <w:szCs w:val="20"/>
                    </w:rPr>
                  </w:pPr>
                  <w:r w:rsidRPr="001646E7">
                    <w:rPr>
                      <w:color w:val="000000"/>
                      <w:sz w:val="20"/>
                      <w:szCs w:val="20"/>
                    </w:rPr>
                    <w:t>Activates muscles through the pyramidal system</w:t>
                  </w:r>
                </w:p>
                <w:p w14:paraId="70560FAE" w14:textId="77777777" w:rsidR="001646E7" w:rsidRPr="001646E7" w:rsidRDefault="001646E7" w:rsidP="001646E7">
                  <w:pPr>
                    <w:numPr>
                      <w:ilvl w:val="0"/>
                      <w:numId w:val="13"/>
                    </w:numPr>
                    <w:textAlignment w:val="baseline"/>
                    <w:rPr>
                      <w:color w:val="000000"/>
                      <w:sz w:val="20"/>
                      <w:szCs w:val="20"/>
                    </w:rPr>
                  </w:pPr>
                  <w:r w:rsidRPr="001646E7">
                    <w:rPr>
                      <w:color w:val="000000"/>
                      <w:sz w:val="20"/>
                      <w:szCs w:val="20"/>
                    </w:rPr>
                    <w:t xml:space="preserve">Activates the oral, pharyngeal, and cervical esophageal muscles. </w:t>
                  </w:r>
                </w:p>
                <w:p w14:paraId="30A47F86" w14:textId="77777777" w:rsidR="001646E7" w:rsidRPr="001646E7" w:rsidRDefault="001646E7" w:rsidP="001646E7">
                  <w:r w:rsidRPr="001646E7">
                    <w:rPr>
                      <w:color w:val="000000"/>
                      <w:sz w:val="20"/>
                      <w:szCs w:val="20"/>
                    </w:rPr>
                    <w:t xml:space="preserve">Primary Sensory Cortex </w:t>
                  </w:r>
                </w:p>
                <w:p w14:paraId="31BD0515" w14:textId="77777777" w:rsidR="001646E7" w:rsidRPr="001646E7" w:rsidRDefault="001646E7" w:rsidP="001646E7">
                  <w:pPr>
                    <w:numPr>
                      <w:ilvl w:val="0"/>
                      <w:numId w:val="14"/>
                    </w:numPr>
                    <w:textAlignment w:val="baseline"/>
                    <w:rPr>
                      <w:color w:val="000000"/>
                      <w:sz w:val="20"/>
                      <w:szCs w:val="20"/>
                    </w:rPr>
                  </w:pPr>
                  <w:r w:rsidRPr="001646E7">
                    <w:rPr>
                      <w:color w:val="000000"/>
                      <w:sz w:val="20"/>
                      <w:szCs w:val="20"/>
                    </w:rPr>
                    <w:t>Interprets sensory information from the oral cavity during the oral prep and oral transit phases of the swallow.</w:t>
                  </w:r>
                </w:p>
                <w:p w14:paraId="3B78C275" w14:textId="77777777" w:rsidR="001646E7" w:rsidRPr="001646E7" w:rsidRDefault="001646E7" w:rsidP="001646E7">
                  <w:r w:rsidRPr="001646E7">
                    <w:rPr>
                      <w:color w:val="000000"/>
                      <w:sz w:val="20"/>
                      <w:szCs w:val="20"/>
                    </w:rPr>
                    <w:t xml:space="preserve">Insula </w:t>
                  </w:r>
                </w:p>
                <w:p w14:paraId="22C8D574" w14:textId="77777777" w:rsidR="001646E7" w:rsidRPr="001646E7" w:rsidRDefault="001646E7" w:rsidP="001646E7">
                  <w:pPr>
                    <w:numPr>
                      <w:ilvl w:val="0"/>
                      <w:numId w:val="15"/>
                    </w:numPr>
                    <w:textAlignment w:val="baseline"/>
                    <w:rPr>
                      <w:color w:val="000000"/>
                      <w:sz w:val="20"/>
                      <w:szCs w:val="20"/>
                    </w:rPr>
                  </w:pPr>
                  <w:r w:rsidRPr="001646E7">
                    <w:rPr>
                      <w:color w:val="000000"/>
                      <w:sz w:val="20"/>
                      <w:szCs w:val="20"/>
                    </w:rPr>
                    <w:t xml:space="preserve">Mediates afferent and efferent information in the oral cavity, pharyngeal cavity, and the esophagus. </w:t>
                  </w:r>
                </w:p>
                <w:p w14:paraId="0DB1798B" w14:textId="77777777" w:rsidR="001646E7" w:rsidRPr="001646E7" w:rsidRDefault="001646E7" w:rsidP="001646E7">
                  <w:r w:rsidRPr="001646E7">
                    <w:rPr>
                      <w:color w:val="000000"/>
                      <w:sz w:val="20"/>
                      <w:szCs w:val="20"/>
                    </w:rPr>
                    <w:t xml:space="preserve">Anterior Cingulate Cortex </w:t>
                  </w:r>
                </w:p>
                <w:p w14:paraId="6C907806" w14:textId="77777777" w:rsidR="001646E7" w:rsidRPr="001646E7" w:rsidRDefault="001646E7" w:rsidP="001646E7">
                  <w:pPr>
                    <w:numPr>
                      <w:ilvl w:val="0"/>
                      <w:numId w:val="16"/>
                    </w:numPr>
                    <w:textAlignment w:val="baseline"/>
                    <w:rPr>
                      <w:color w:val="000000"/>
                      <w:sz w:val="20"/>
                      <w:szCs w:val="20"/>
                    </w:rPr>
                  </w:pPr>
                  <w:r w:rsidRPr="001646E7">
                    <w:rPr>
                      <w:color w:val="000000"/>
                      <w:sz w:val="20"/>
                      <w:szCs w:val="20"/>
                    </w:rPr>
                    <w:t xml:space="preserve">Aids in attention needed to swallow. </w:t>
                  </w:r>
                </w:p>
                <w:p w14:paraId="7D5976A9" w14:textId="77777777" w:rsidR="001646E7" w:rsidRPr="001646E7" w:rsidRDefault="001646E7" w:rsidP="001646E7">
                  <w:r w:rsidRPr="001646E7">
                    <w:rPr>
                      <w:color w:val="000000"/>
                      <w:sz w:val="20"/>
                      <w:szCs w:val="20"/>
                    </w:rPr>
                    <w:t xml:space="preserve">Premotor Cortex </w:t>
                  </w:r>
                </w:p>
                <w:p w14:paraId="6C2A3497" w14:textId="77777777" w:rsidR="001646E7" w:rsidRPr="001646E7" w:rsidRDefault="001646E7" w:rsidP="001646E7">
                  <w:pPr>
                    <w:numPr>
                      <w:ilvl w:val="0"/>
                      <w:numId w:val="17"/>
                    </w:numPr>
                    <w:textAlignment w:val="baseline"/>
                    <w:rPr>
                      <w:color w:val="000000"/>
                      <w:sz w:val="20"/>
                      <w:szCs w:val="20"/>
                    </w:rPr>
                  </w:pPr>
                  <w:r w:rsidRPr="001646E7">
                    <w:rPr>
                      <w:color w:val="000000"/>
                      <w:sz w:val="20"/>
                      <w:szCs w:val="20"/>
                    </w:rPr>
                    <w:t xml:space="preserve">Responsible for motor planning, therefore it is involved for the planning of motor movements needed for swallowing. </w:t>
                  </w:r>
                </w:p>
              </w:tc>
            </w:tr>
          </w:tbl>
          <w:p w14:paraId="176FE77A" w14:textId="77777777" w:rsidR="00D66BCD" w:rsidRPr="00D66BCD" w:rsidRDefault="00D66BCD" w:rsidP="001646E7">
            <w:pPr>
              <w:rPr>
                <w:rFonts w:eastAsia="Calibri"/>
                <w:b/>
                <w:sz w:val="20"/>
                <w:szCs w:val="20"/>
              </w:rPr>
            </w:pPr>
          </w:p>
        </w:tc>
        <w:tc>
          <w:tcPr>
            <w:tcW w:w="813" w:type="pct"/>
          </w:tcPr>
          <w:p w14:paraId="3B0FED17" w14:textId="77777777" w:rsidR="00D66BCD" w:rsidRPr="00D66BCD" w:rsidRDefault="00D66BCD" w:rsidP="00D66BCD">
            <w:pPr>
              <w:rPr>
                <w:rFonts w:eastAsia="Calibri"/>
                <w:b/>
                <w:sz w:val="20"/>
                <w:szCs w:val="20"/>
              </w:rPr>
            </w:pPr>
            <w:r w:rsidRPr="00D66BCD">
              <w:rPr>
                <w:rFonts w:eastAsia="Calibri"/>
                <w:b/>
                <w:sz w:val="20"/>
                <w:szCs w:val="20"/>
              </w:rPr>
              <w:lastRenderedPageBreak/>
              <w:t>Motor damage</w:t>
            </w:r>
            <w:bookmarkStart w:id="0" w:name="_GoBack"/>
            <w:bookmarkEnd w:id="0"/>
          </w:p>
        </w:tc>
        <w:tc>
          <w:tcPr>
            <w:tcW w:w="873" w:type="pct"/>
          </w:tcPr>
          <w:p w14:paraId="6D0766EA" w14:textId="77777777" w:rsidR="00D66BCD" w:rsidRPr="00D66BCD" w:rsidRDefault="00D66BCD" w:rsidP="00D66BCD">
            <w:pPr>
              <w:rPr>
                <w:rFonts w:eastAsia="Calibri"/>
                <w:b/>
                <w:sz w:val="20"/>
                <w:szCs w:val="20"/>
              </w:rPr>
            </w:pPr>
            <w:r w:rsidRPr="00D66BCD">
              <w:rPr>
                <w:rFonts w:eastAsia="Calibri"/>
                <w:b/>
                <w:sz w:val="20"/>
                <w:szCs w:val="20"/>
              </w:rPr>
              <w:t>Sensory damage</w:t>
            </w:r>
          </w:p>
        </w:tc>
      </w:tr>
      <w:tr w:rsidR="00D66BCD" w:rsidRPr="00D66BCD" w14:paraId="0242B62A" w14:textId="77777777" w:rsidTr="00295454">
        <w:trPr>
          <w:trHeight w:val="864"/>
        </w:trPr>
        <w:tc>
          <w:tcPr>
            <w:tcW w:w="611" w:type="pct"/>
          </w:tcPr>
          <w:p w14:paraId="7DF8A4B8" w14:textId="77777777" w:rsidR="00D66BCD" w:rsidRDefault="00D66BCD" w:rsidP="00D66BCD">
            <w:pPr>
              <w:rPr>
                <w:rFonts w:ascii="Calibri" w:eastAsia="Calibri" w:hAnsi="Calibri"/>
                <w:sz w:val="20"/>
                <w:szCs w:val="20"/>
              </w:rPr>
            </w:pPr>
          </w:p>
          <w:p w14:paraId="130ECDE6" w14:textId="4363D7A4" w:rsidR="00D66BCD" w:rsidRPr="00D66BCD" w:rsidRDefault="00D66BCD" w:rsidP="00D66BCD">
            <w:pPr>
              <w:rPr>
                <w:rFonts w:eastAsia="Calibri"/>
                <w:sz w:val="20"/>
                <w:szCs w:val="20"/>
              </w:rPr>
            </w:pPr>
          </w:p>
        </w:tc>
        <w:tc>
          <w:tcPr>
            <w:tcW w:w="2703" w:type="pct"/>
          </w:tcPr>
          <w:p w14:paraId="65838CFB" w14:textId="255F5486" w:rsidR="00D66BCD" w:rsidRPr="00D66BCD" w:rsidRDefault="00D66BCD" w:rsidP="00D66BCD">
            <w:pPr>
              <w:rPr>
                <w:rFonts w:eastAsia="Calibri"/>
                <w:sz w:val="20"/>
                <w:szCs w:val="20"/>
              </w:rPr>
            </w:pPr>
          </w:p>
        </w:tc>
        <w:tc>
          <w:tcPr>
            <w:tcW w:w="813" w:type="pct"/>
          </w:tcPr>
          <w:p w14:paraId="02C46682" w14:textId="1937FFAB" w:rsidR="00D66BCD" w:rsidRPr="00D66BCD" w:rsidRDefault="00D66BCD" w:rsidP="00460FAF">
            <w:pPr>
              <w:rPr>
                <w:rFonts w:eastAsia="Calibri"/>
                <w:sz w:val="20"/>
                <w:szCs w:val="20"/>
              </w:rPr>
            </w:pPr>
          </w:p>
        </w:tc>
        <w:tc>
          <w:tcPr>
            <w:tcW w:w="873" w:type="pct"/>
          </w:tcPr>
          <w:p w14:paraId="439D3D3A" w14:textId="77777777" w:rsidR="00D66BCD" w:rsidRPr="00D66BCD" w:rsidRDefault="00D66BCD" w:rsidP="00F16608">
            <w:pPr>
              <w:rPr>
                <w:rFonts w:eastAsia="Calibri"/>
                <w:sz w:val="20"/>
                <w:szCs w:val="20"/>
              </w:rPr>
            </w:pPr>
          </w:p>
        </w:tc>
      </w:tr>
      <w:tr w:rsidR="00D66BCD" w:rsidRPr="00D66BCD" w14:paraId="66DECF52" w14:textId="77777777" w:rsidTr="00295454">
        <w:trPr>
          <w:trHeight w:val="864"/>
        </w:trPr>
        <w:tc>
          <w:tcPr>
            <w:tcW w:w="611" w:type="pct"/>
          </w:tcPr>
          <w:p w14:paraId="48E7464C" w14:textId="77777777" w:rsidR="00D66BCD" w:rsidRDefault="00D66BCD" w:rsidP="00D66BCD">
            <w:pPr>
              <w:rPr>
                <w:rFonts w:eastAsia="Calibri"/>
                <w:sz w:val="20"/>
                <w:szCs w:val="20"/>
              </w:rPr>
            </w:pPr>
          </w:p>
          <w:p w14:paraId="547640AB" w14:textId="3A3472A8" w:rsidR="00D66BCD" w:rsidRPr="00D66BCD" w:rsidRDefault="00D66BCD" w:rsidP="00D66BCD">
            <w:pPr>
              <w:rPr>
                <w:rFonts w:ascii="Calibri" w:eastAsia="Calibri" w:hAnsi="Calibri"/>
                <w:sz w:val="20"/>
                <w:szCs w:val="20"/>
              </w:rPr>
            </w:pPr>
          </w:p>
        </w:tc>
        <w:tc>
          <w:tcPr>
            <w:tcW w:w="2703" w:type="pct"/>
          </w:tcPr>
          <w:p w14:paraId="3432136C" w14:textId="7EF10AD5" w:rsidR="00D66BCD" w:rsidRPr="00D66BCD" w:rsidRDefault="00D66BCD" w:rsidP="00D66BCD">
            <w:pPr>
              <w:rPr>
                <w:rFonts w:eastAsia="Calibri"/>
                <w:sz w:val="20"/>
                <w:szCs w:val="20"/>
              </w:rPr>
            </w:pPr>
          </w:p>
        </w:tc>
        <w:tc>
          <w:tcPr>
            <w:tcW w:w="813" w:type="pct"/>
          </w:tcPr>
          <w:p w14:paraId="001FEA3C" w14:textId="77777777" w:rsidR="00D66BCD" w:rsidRPr="00D66BCD" w:rsidRDefault="00D66BCD" w:rsidP="00F16608">
            <w:pPr>
              <w:rPr>
                <w:rFonts w:eastAsia="Calibri"/>
                <w:sz w:val="20"/>
                <w:szCs w:val="20"/>
              </w:rPr>
            </w:pPr>
          </w:p>
        </w:tc>
        <w:tc>
          <w:tcPr>
            <w:tcW w:w="873" w:type="pct"/>
          </w:tcPr>
          <w:p w14:paraId="6369A4A9" w14:textId="77777777" w:rsidR="00D66BCD" w:rsidRPr="00D66BCD" w:rsidRDefault="00D66BCD" w:rsidP="00F16608">
            <w:pPr>
              <w:rPr>
                <w:rFonts w:eastAsia="Calibri"/>
                <w:sz w:val="20"/>
                <w:szCs w:val="20"/>
              </w:rPr>
            </w:pPr>
          </w:p>
        </w:tc>
      </w:tr>
      <w:tr w:rsidR="008764E3" w:rsidRPr="00D66BCD" w14:paraId="6B2400FF" w14:textId="77777777" w:rsidTr="00295454">
        <w:trPr>
          <w:trHeight w:val="864"/>
        </w:trPr>
        <w:tc>
          <w:tcPr>
            <w:tcW w:w="5000" w:type="pct"/>
            <w:gridSpan w:val="4"/>
          </w:tcPr>
          <w:p w14:paraId="46BD66F8" w14:textId="28E242B8" w:rsidR="008764E3" w:rsidRPr="00072BBA" w:rsidRDefault="00072BBA" w:rsidP="00D66BCD">
            <w:pPr>
              <w:rPr>
                <w:rFonts w:eastAsia="Calibri"/>
                <w:b/>
                <w:sz w:val="20"/>
                <w:szCs w:val="20"/>
              </w:rPr>
            </w:pPr>
            <w:r>
              <w:rPr>
                <w:rFonts w:eastAsia="Calibri"/>
                <w:b/>
                <w:sz w:val="20"/>
                <w:szCs w:val="20"/>
              </w:rPr>
              <w:t>Post-stroke swallowing characteristics:</w:t>
            </w:r>
          </w:p>
        </w:tc>
      </w:tr>
    </w:tbl>
    <w:p w14:paraId="6CE00035" w14:textId="77777777" w:rsidR="00D66BCD" w:rsidRDefault="00D66BCD" w:rsidP="007543C0">
      <w:pPr>
        <w:spacing w:line="480" w:lineRule="auto"/>
      </w:pPr>
    </w:p>
    <w:p w14:paraId="6DC820E4" w14:textId="46C4025E" w:rsidR="00FA16C9" w:rsidRPr="007543C0" w:rsidRDefault="00FA16C9" w:rsidP="00F16608">
      <w:pPr>
        <w:spacing w:line="480" w:lineRule="auto"/>
        <w:jc w:val="center"/>
      </w:pPr>
      <w:r>
        <w:t>Resources</w:t>
      </w:r>
    </w:p>
    <w:sectPr w:rsidR="00FA16C9" w:rsidRPr="007543C0" w:rsidSect="00FA3A78">
      <w:headerReference w:type="default" r:id="rId7"/>
      <w:pgSz w:w="15840" w:h="12240" w:orient="landscape"/>
      <w:pgMar w:top="90" w:right="1440" w:bottom="180" w:left="1440" w:header="288" w:footer="720" w:gutter="0"/>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855DB4" w14:textId="77777777" w:rsidR="00231490" w:rsidRDefault="00231490" w:rsidP="005D47C2">
      <w:r>
        <w:separator/>
      </w:r>
    </w:p>
  </w:endnote>
  <w:endnote w:type="continuationSeparator" w:id="0">
    <w:p w14:paraId="4F4FBFD7" w14:textId="77777777" w:rsidR="00231490" w:rsidRDefault="00231490" w:rsidP="005D4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宋体">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AC12F91" w14:textId="77777777" w:rsidR="00231490" w:rsidRDefault="00231490" w:rsidP="005D47C2">
      <w:r>
        <w:separator/>
      </w:r>
    </w:p>
  </w:footnote>
  <w:footnote w:type="continuationSeparator" w:id="0">
    <w:p w14:paraId="49293A39" w14:textId="77777777" w:rsidR="00231490" w:rsidRDefault="00231490" w:rsidP="005D47C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65216" w14:textId="5DF91452" w:rsidR="00BB2222" w:rsidRDefault="00BB2222" w:rsidP="005D47C2">
    <w:pPr>
      <w:pStyle w:val="Header"/>
      <w:tabs>
        <w:tab w:val="left" w:pos="11520"/>
      </w:tabs>
    </w:pPr>
    <w:r>
      <w:t>CD 624: Group Project</w:t>
    </w:r>
    <w:r>
      <w:tab/>
    </w:r>
    <w:r>
      <w:tab/>
    </w:r>
    <w:r>
      <w:tab/>
    </w:r>
    <w:r>
      <w:fldChar w:fldCharType="begin"/>
    </w:r>
    <w:r>
      <w:instrText xml:space="preserve"> PAGE   \* MERGEFORMAT </w:instrText>
    </w:r>
    <w:r>
      <w:fldChar w:fldCharType="separate"/>
    </w:r>
    <w:r w:rsidR="001646E7">
      <w:rPr>
        <w:noProof/>
      </w:rPr>
      <w:t>4</w:t>
    </w:r>
    <w:r>
      <w:rPr>
        <w:noProof/>
      </w:rPr>
      <w:fldChar w:fldCharType="end"/>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E56C0B"/>
    <w:multiLevelType w:val="multilevel"/>
    <w:tmpl w:val="3E9A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A67CB1"/>
    <w:multiLevelType w:val="multilevel"/>
    <w:tmpl w:val="BB868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C735B4"/>
    <w:multiLevelType w:val="hybridMultilevel"/>
    <w:tmpl w:val="ECD2EC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8627631"/>
    <w:multiLevelType w:val="multilevel"/>
    <w:tmpl w:val="2118D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794203"/>
    <w:multiLevelType w:val="multilevel"/>
    <w:tmpl w:val="62BEA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EE2AA8"/>
    <w:multiLevelType w:val="hybridMultilevel"/>
    <w:tmpl w:val="F6A236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2942EBE"/>
    <w:multiLevelType w:val="multilevel"/>
    <w:tmpl w:val="EAE28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DF36D1"/>
    <w:multiLevelType w:val="multilevel"/>
    <w:tmpl w:val="44249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D63740C"/>
    <w:multiLevelType w:val="multilevel"/>
    <w:tmpl w:val="A7249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445E1B"/>
    <w:multiLevelType w:val="multilevel"/>
    <w:tmpl w:val="EC447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873603C"/>
    <w:multiLevelType w:val="multilevel"/>
    <w:tmpl w:val="47D8A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C7516A9"/>
    <w:multiLevelType w:val="hybridMultilevel"/>
    <w:tmpl w:val="F5C0644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nsid w:val="6D440EF6"/>
    <w:multiLevelType w:val="multilevel"/>
    <w:tmpl w:val="2D9A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61E205F"/>
    <w:multiLevelType w:val="multilevel"/>
    <w:tmpl w:val="30CA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8D83EFD"/>
    <w:multiLevelType w:val="hybridMultilevel"/>
    <w:tmpl w:val="4024F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9145702"/>
    <w:multiLevelType w:val="multilevel"/>
    <w:tmpl w:val="6B0419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F547F49"/>
    <w:multiLevelType w:val="multilevel"/>
    <w:tmpl w:val="C4EE94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1"/>
  </w:num>
  <w:num w:numId="3">
    <w:abstractNumId w:val="2"/>
  </w:num>
  <w:num w:numId="4">
    <w:abstractNumId w:val="14"/>
  </w:num>
  <w:num w:numId="5">
    <w:abstractNumId w:val="4"/>
  </w:num>
  <w:num w:numId="6">
    <w:abstractNumId w:val="6"/>
  </w:num>
  <w:num w:numId="7">
    <w:abstractNumId w:val="16"/>
  </w:num>
  <w:num w:numId="8">
    <w:abstractNumId w:val="13"/>
  </w:num>
  <w:num w:numId="9">
    <w:abstractNumId w:val="12"/>
  </w:num>
  <w:num w:numId="10">
    <w:abstractNumId w:val="0"/>
  </w:num>
  <w:num w:numId="11">
    <w:abstractNumId w:val="1"/>
  </w:num>
  <w:num w:numId="12">
    <w:abstractNumId w:val="10"/>
  </w:num>
  <w:num w:numId="13">
    <w:abstractNumId w:val="7"/>
  </w:num>
  <w:num w:numId="14">
    <w:abstractNumId w:val="15"/>
  </w:num>
  <w:num w:numId="15">
    <w:abstractNumId w:val="8"/>
  </w:num>
  <w:num w:numId="16">
    <w:abstractNumId w:val="3"/>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070"/>
    <w:rsid w:val="00001840"/>
    <w:rsid w:val="00027A9F"/>
    <w:rsid w:val="00064EF3"/>
    <w:rsid w:val="000653F3"/>
    <w:rsid w:val="00072BBA"/>
    <w:rsid w:val="000D47CE"/>
    <w:rsid w:val="000F33DA"/>
    <w:rsid w:val="00102905"/>
    <w:rsid w:val="0010748C"/>
    <w:rsid w:val="001531B4"/>
    <w:rsid w:val="001646E7"/>
    <w:rsid w:val="001753C9"/>
    <w:rsid w:val="001A58B6"/>
    <w:rsid w:val="001B79CD"/>
    <w:rsid w:val="001F0070"/>
    <w:rsid w:val="001F3ABA"/>
    <w:rsid w:val="00231490"/>
    <w:rsid w:val="00295454"/>
    <w:rsid w:val="002C42B3"/>
    <w:rsid w:val="002D440C"/>
    <w:rsid w:val="002F5A81"/>
    <w:rsid w:val="003825CD"/>
    <w:rsid w:val="00385791"/>
    <w:rsid w:val="003E2893"/>
    <w:rsid w:val="00460FAF"/>
    <w:rsid w:val="004717A9"/>
    <w:rsid w:val="004D3DE4"/>
    <w:rsid w:val="004F4B1C"/>
    <w:rsid w:val="005650AE"/>
    <w:rsid w:val="00576EDF"/>
    <w:rsid w:val="00590BF3"/>
    <w:rsid w:val="005D47C2"/>
    <w:rsid w:val="00621A0F"/>
    <w:rsid w:val="00627ACA"/>
    <w:rsid w:val="006F22AA"/>
    <w:rsid w:val="007543C0"/>
    <w:rsid w:val="00776CF1"/>
    <w:rsid w:val="007925DC"/>
    <w:rsid w:val="00792F6A"/>
    <w:rsid w:val="007E4A6F"/>
    <w:rsid w:val="00821649"/>
    <w:rsid w:val="00856048"/>
    <w:rsid w:val="008764E3"/>
    <w:rsid w:val="008D74AD"/>
    <w:rsid w:val="0092663D"/>
    <w:rsid w:val="009B4F7C"/>
    <w:rsid w:val="009F4842"/>
    <w:rsid w:val="009F6FAA"/>
    <w:rsid w:val="00A91D4F"/>
    <w:rsid w:val="00A95746"/>
    <w:rsid w:val="00BA2DA8"/>
    <w:rsid w:val="00BB2222"/>
    <w:rsid w:val="00BD43C0"/>
    <w:rsid w:val="00C17E7C"/>
    <w:rsid w:val="00C36BAE"/>
    <w:rsid w:val="00D11B75"/>
    <w:rsid w:val="00D66BCD"/>
    <w:rsid w:val="00D95894"/>
    <w:rsid w:val="00DC12D8"/>
    <w:rsid w:val="00DC4738"/>
    <w:rsid w:val="00DF43A1"/>
    <w:rsid w:val="00E42271"/>
    <w:rsid w:val="00EB493F"/>
    <w:rsid w:val="00F0705C"/>
    <w:rsid w:val="00F16608"/>
    <w:rsid w:val="00F71D03"/>
    <w:rsid w:val="00FA16C9"/>
    <w:rsid w:val="00FA3A78"/>
    <w:rsid w:val="00FA61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AA4B69"/>
  <w15:chartTrackingRefBased/>
  <w15:docId w15:val="{1E692CE7-FF12-4F79-BEEF-995A486D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46E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3C0"/>
    <w:pPr>
      <w:ind w:left="720"/>
      <w:contextualSpacing/>
    </w:pPr>
  </w:style>
  <w:style w:type="table" w:customStyle="1" w:styleId="TableGrid1">
    <w:name w:val="Table Grid1"/>
    <w:basedOn w:val="TableNormal"/>
    <w:next w:val="TableGrid"/>
    <w:uiPriority w:val="39"/>
    <w:rsid w:val="00D66B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D66B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D47C2"/>
    <w:pPr>
      <w:tabs>
        <w:tab w:val="center" w:pos="4680"/>
        <w:tab w:val="right" w:pos="9360"/>
      </w:tabs>
    </w:pPr>
  </w:style>
  <w:style w:type="character" w:customStyle="1" w:styleId="HeaderChar">
    <w:name w:val="Header Char"/>
    <w:basedOn w:val="DefaultParagraphFont"/>
    <w:link w:val="Header"/>
    <w:uiPriority w:val="99"/>
    <w:rsid w:val="005D47C2"/>
  </w:style>
  <w:style w:type="paragraph" w:styleId="Footer">
    <w:name w:val="footer"/>
    <w:basedOn w:val="Normal"/>
    <w:link w:val="FooterChar"/>
    <w:uiPriority w:val="99"/>
    <w:unhideWhenUsed/>
    <w:rsid w:val="005D47C2"/>
    <w:pPr>
      <w:tabs>
        <w:tab w:val="center" w:pos="4680"/>
        <w:tab w:val="right" w:pos="9360"/>
      </w:tabs>
    </w:pPr>
  </w:style>
  <w:style w:type="character" w:customStyle="1" w:styleId="FooterChar">
    <w:name w:val="Footer Char"/>
    <w:basedOn w:val="DefaultParagraphFont"/>
    <w:link w:val="Footer"/>
    <w:uiPriority w:val="99"/>
    <w:rsid w:val="005D47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3342377">
      <w:bodyDiv w:val="1"/>
      <w:marLeft w:val="0"/>
      <w:marRight w:val="0"/>
      <w:marTop w:val="0"/>
      <w:marBottom w:val="0"/>
      <w:divBdr>
        <w:top w:val="none" w:sz="0" w:space="0" w:color="auto"/>
        <w:left w:val="none" w:sz="0" w:space="0" w:color="auto"/>
        <w:bottom w:val="none" w:sz="0" w:space="0" w:color="auto"/>
        <w:right w:val="none" w:sz="0" w:space="0" w:color="auto"/>
      </w:divBdr>
      <w:divsChild>
        <w:div w:id="1850869775">
          <w:marLeft w:val="-1373"/>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230</TotalTime>
  <Pages>5</Pages>
  <Words>1068</Words>
  <Characters>6093</Characters>
  <Application>Microsoft Macintosh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Douthitt, Taylor</dc:creator>
  <cp:keywords/>
  <dc:description/>
  <cp:lastModifiedBy>Mallory, Kellan</cp:lastModifiedBy>
  <cp:revision>7</cp:revision>
  <dcterms:created xsi:type="dcterms:W3CDTF">2018-11-07T01:17:00Z</dcterms:created>
  <dcterms:modified xsi:type="dcterms:W3CDTF">2018-11-11T15:43:00Z</dcterms:modified>
</cp:coreProperties>
</file>